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1E65D" w14:textId="0EE70EA9" w:rsidR="005520F4" w:rsidRPr="00FB162F" w:rsidRDefault="005520F4" w:rsidP="00914A48">
      <w:pPr>
        <w:spacing w:after="0" w:line="240" w:lineRule="auto"/>
        <w:contextualSpacing/>
        <w:rPr>
          <w:rFonts w:ascii="Futura" w:hAnsi="Futura"/>
          <w:color w:val="000000" w:themeColor="text1"/>
          <w:u w:val="single"/>
        </w:rPr>
      </w:pPr>
      <w:r w:rsidRPr="00FB162F">
        <w:rPr>
          <w:i/>
          <w:color w:val="000000" w:themeColor="text1"/>
        </w:rPr>
        <w:t>Media contact:</w:t>
      </w:r>
      <w:r w:rsidRPr="00FB162F">
        <w:rPr>
          <w:i/>
          <w:color w:val="000000" w:themeColor="text1"/>
        </w:rPr>
        <w:tab/>
      </w:r>
      <w:r w:rsidR="00601401" w:rsidRPr="00FB162F">
        <w:rPr>
          <w:i/>
          <w:color w:val="000000" w:themeColor="text1"/>
        </w:rPr>
        <w:tab/>
      </w:r>
      <w:r w:rsidRPr="00FB162F">
        <w:rPr>
          <w:i/>
          <w:color w:val="000000" w:themeColor="text1"/>
        </w:rPr>
        <w:t>Heather West, 612-724-8760, heather@heatherwestpr.com</w:t>
      </w:r>
    </w:p>
    <w:p w14:paraId="0F0D9F97" w14:textId="77777777" w:rsidR="0021412C" w:rsidRPr="00FB162F" w:rsidRDefault="0021412C" w:rsidP="00914A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i/>
          <w:color w:val="000000" w:themeColor="text1"/>
          <w:spacing w:val="-6"/>
        </w:rPr>
      </w:pPr>
    </w:p>
    <w:p w14:paraId="18B023D9" w14:textId="02A3C89D" w:rsidR="0021412C" w:rsidRPr="00FB162F" w:rsidRDefault="00D622DA" w:rsidP="00914A48">
      <w:pPr>
        <w:spacing w:after="0" w:line="240" w:lineRule="auto"/>
        <w:contextualSpacing/>
        <w:jc w:val="center"/>
        <w:rPr>
          <w:rFonts w:ascii="Futura" w:hAnsi="Futura"/>
          <w:color w:val="000000" w:themeColor="text1"/>
          <w:sz w:val="30"/>
          <w:szCs w:val="30"/>
        </w:rPr>
      </w:pPr>
      <w:r>
        <w:rPr>
          <w:rFonts w:ascii="Futura" w:hAnsi="Futura"/>
          <w:color w:val="000000" w:themeColor="text1"/>
          <w:sz w:val="30"/>
          <w:szCs w:val="30"/>
        </w:rPr>
        <w:t xml:space="preserve">University of Albany/SUNY’s </w:t>
      </w:r>
      <w:r w:rsidR="0052615A" w:rsidRPr="00FB162F">
        <w:rPr>
          <w:rFonts w:ascii="Futura" w:hAnsi="Futura"/>
          <w:color w:val="000000" w:themeColor="text1"/>
          <w:sz w:val="30"/>
          <w:szCs w:val="30"/>
        </w:rPr>
        <w:t xml:space="preserve">historic Administrative </w:t>
      </w:r>
      <w:r w:rsidR="006057EB" w:rsidRPr="00FB162F">
        <w:rPr>
          <w:rFonts w:ascii="Futura" w:hAnsi="Futura"/>
          <w:color w:val="000000" w:themeColor="text1"/>
          <w:sz w:val="30"/>
          <w:szCs w:val="30"/>
        </w:rPr>
        <w:t>b</w:t>
      </w:r>
      <w:r w:rsidR="0052615A" w:rsidRPr="00FB162F">
        <w:rPr>
          <w:rFonts w:ascii="Futura" w:hAnsi="Futura"/>
          <w:color w:val="000000" w:themeColor="text1"/>
          <w:sz w:val="30"/>
          <w:szCs w:val="30"/>
        </w:rPr>
        <w:t xml:space="preserve">uilding’s window renovation </w:t>
      </w:r>
      <w:r>
        <w:rPr>
          <w:rFonts w:ascii="Futura" w:hAnsi="Futura"/>
          <w:color w:val="000000" w:themeColor="text1"/>
          <w:sz w:val="30"/>
          <w:szCs w:val="30"/>
        </w:rPr>
        <w:t>upholds</w:t>
      </w:r>
      <w:r w:rsidR="0052615A" w:rsidRPr="00FB162F">
        <w:rPr>
          <w:rFonts w:ascii="Futura" w:hAnsi="Futura"/>
          <w:color w:val="000000" w:themeColor="text1"/>
          <w:sz w:val="30"/>
          <w:szCs w:val="30"/>
        </w:rPr>
        <w:t xml:space="preserve"> </w:t>
      </w:r>
      <w:r w:rsidR="004639BD">
        <w:rPr>
          <w:rFonts w:ascii="Futura" w:hAnsi="Futura"/>
          <w:color w:val="000000" w:themeColor="text1"/>
          <w:sz w:val="30"/>
          <w:szCs w:val="30"/>
        </w:rPr>
        <w:t>aesthetic</w:t>
      </w:r>
      <w:r w:rsidR="0052615A" w:rsidRPr="00FB162F">
        <w:rPr>
          <w:rFonts w:ascii="Futura" w:hAnsi="Futura"/>
          <w:color w:val="000000" w:themeColor="text1"/>
          <w:sz w:val="30"/>
          <w:szCs w:val="30"/>
        </w:rPr>
        <w:t>, improves performance</w:t>
      </w:r>
    </w:p>
    <w:p w14:paraId="01EB789D" w14:textId="77777777" w:rsidR="0072026F" w:rsidRPr="00FB162F" w:rsidRDefault="0072026F" w:rsidP="00914A48">
      <w:pPr>
        <w:spacing w:after="0" w:line="240" w:lineRule="auto"/>
        <w:contextualSpacing/>
        <w:rPr>
          <w:color w:val="000000" w:themeColor="text1"/>
        </w:rPr>
      </w:pPr>
    </w:p>
    <w:p w14:paraId="12CCC6F7" w14:textId="675FE39A" w:rsidR="0052615A" w:rsidRPr="00FB162F" w:rsidRDefault="0052615A" w:rsidP="00914A48">
      <w:pPr>
        <w:spacing w:after="0" w:line="240" w:lineRule="auto"/>
        <w:contextualSpacing/>
        <w:rPr>
          <w:color w:val="000000" w:themeColor="text1"/>
          <w:szCs w:val="21"/>
        </w:rPr>
      </w:pPr>
      <w:r w:rsidRPr="00FB162F">
        <w:rPr>
          <w:color w:val="000000" w:themeColor="text1"/>
        </w:rPr>
        <w:t>For nearly a century, the Delaware and Hudson (D&amp;H) railroad company headquarters has anchored State Street and Broadway in Albany, N</w:t>
      </w:r>
      <w:r w:rsidR="00D622DA">
        <w:rPr>
          <w:color w:val="000000" w:themeColor="text1"/>
        </w:rPr>
        <w:t xml:space="preserve">ew York. </w:t>
      </w:r>
      <w:r w:rsidRPr="00FB162F">
        <w:rPr>
          <w:color w:val="000000" w:themeColor="text1"/>
        </w:rPr>
        <w:t xml:space="preserve">The large, historic structure now serves as the Administrative Building for the </w:t>
      </w:r>
      <w:r w:rsidR="00D622DA">
        <w:rPr>
          <w:color w:val="000000" w:themeColor="text1"/>
        </w:rPr>
        <w:t xml:space="preserve">University of Albany, part of </w:t>
      </w:r>
      <w:r w:rsidRPr="00FB162F">
        <w:rPr>
          <w:color w:val="000000" w:themeColor="text1"/>
          <w:szCs w:val="21"/>
        </w:rPr>
        <w:t>State University of New York (SUNY). Updating the building’s performance and preserving its architectural heritage, Wausau Window and Wall Systems provided more than 1,000 windows for the property’s renovation.</w:t>
      </w:r>
    </w:p>
    <w:p w14:paraId="0A041FC1" w14:textId="50BCC9D5" w:rsidR="0052615A" w:rsidRPr="00FB162F" w:rsidRDefault="0052615A" w:rsidP="00914A48">
      <w:pPr>
        <w:spacing w:after="0" w:line="240" w:lineRule="auto"/>
        <w:contextualSpacing/>
        <w:rPr>
          <w:color w:val="000000" w:themeColor="text1"/>
        </w:rPr>
      </w:pPr>
    </w:p>
    <w:p w14:paraId="7597C38C" w14:textId="77777777" w:rsidR="006057EB" w:rsidRPr="00FB162F" w:rsidRDefault="006057EB" w:rsidP="00914A48">
      <w:pPr>
        <w:spacing w:after="0" w:line="240" w:lineRule="auto"/>
        <w:contextualSpacing/>
        <w:rPr>
          <w:color w:val="000000" w:themeColor="text1"/>
        </w:rPr>
      </w:pPr>
    </w:p>
    <w:p w14:paraId="40ADC71B" w14:textId="4B13C6C1" w:rsidR="006057EB" w:rsidRPr="00FB162F" w:rsidRDefault="006057EB" w:rsidP="00914A48">
      <w:pPr>
        <w:spacing w:after="0" w:line="240" w:lineRule="auto"/>
        <w:contextualSpacing/>
        <w:rPr>
          <w:rFonts w:ascii="Futura Medium" w:hAnsi="Futura Medium" w:cs="Futura Medium"/>
          <w:b/>
          <w:i/>
          <w:color w:val="000000" w:themeColor="text1"/>
        </w:rPr>
      </w:pPr>
      <w:r w:rsidRPr="00FB162F">
        <w:rPr>
          <w:rFonts w:ascii="Futura Medium" w:hAnsi="Futura Medium" w:cs="Futura Medium" w:hint="cs"/>
          <w:b/>
          <w:i/>
          <w:color w:val="000000" w:themeColor="text1"/>
        </w:rPr>
        <w:t>Historic Appearance in Need of Modern Performance</w:t>
      </w:r>
    </w:p>
    <w:p w14:paraId="5B9ADAA6" w14:textId="77777777" w:rsidR="006057EB" w:rsidRPr="00FB162F" w:rsidRDefault="006057EB" w:rsidP="00914A48">
      <w:pPr>
        <w:spacing w:after="0" w:line="240" w:lineRule="auto"/>
        <w:contextualSpacing/>
        <w:rPr>
          <w:color w:val="000000" w:themeColor="text1"/>
        </w:rPr>
      </w:pPr>
    </w:p>
    <w:p w14:paraId="3B23987A" w14:textId="5A35C386" w:rsidR="0052615A" w:rsidRPr="00FB162F" w:rsidRDefault="0052615A" w:rsidP="00914A48">
      <w:pPr>
        <w:spacing w:after="0" w:line="240" w:lineRule="auto"/>
        <w:contextualSpacing/>
        <w:rPr>
          <w:color w:val="000000" w:themeColor="text1"/>
        </w:rPr>
      </w:pPr>
      <w:r w:rsidRPr="00FB162F">
        <w:rPr>
          <w:color w:val="000000" w:themeColor="text1"/>
        </w:rPr>
        <w:t xml:space="preserve">Originally designed by Albany architect Marcus T. Reynolds in a Flemish Gothic architectural style, the initial construction was completed in 1915. Upon completion, an expansion immediately began at the southern end of the building for the </w:t>
      </w:r>
      <w:r w:rsidRPr="00FB162F">
        <w:rPr>
          <w:i/>
          <w:color w:val="000000" w:themeColor="text1"/>
        </w:rPr>
        <w:t>Albany Evening Journal</w:t>
      </w:r>
      <w:r w:rsidRPr="00FB162F">
        <w:rPr>
          <w:color w:val="000000" w:themeColor="text1"/>
        </w:rPr>
        <w:t>’s headquarters. The entire building, completed in 1918, stretched 660 feet long.</w:t>
      </w:r>
    </w:p>
    <w:p w14:paraId="317375C2" w14:textId="77777777" w:rsidR="0052615A" w:rsidRPr="00FB162F" w:rsidRDefault="0052615A" w:rsidP="00914A48">
      <w:pPr>
        <w:spacing w:after="0" w:line="240" w:lineRule="auto"/>
        <w:contextualSpacing/>
        <w:rPr>
          <w:color w:val="000000" w:themeColor="text1"/>
        </w:rPr>
      </w:pPr>
    </w:p>
    <w:p w14:paraId="485DE081" w14:textId="1433C666" w:rsidR="0052615A" w:rsidRPr="00FB162F" w:rsidRDefault="0052615A" w:rsidP="00914A48">
      <w:pPr>
        <w:spacing w:after="0" w:line="240" w:lineRule="auto"/>
        <w:contextualSpacing/>
        <w:rPr>
          <w:color w:val="000000" w:themeColor="text1"/>
        </w:rPr>
      </w:pPr>
      <w:r w:rsidRPr="00FB162F">
        <w:rPr>
          <w:color w:val="000000" w:themeColor="text1"/>
        </w:rPr>
        <w:t>The building sat vacant for many years. In 1972, it was added to the National Register of Historic Places and is part of the Downtown Albany Historic District. Acting in part to preserve this landmark, SUNY purchased the building and the neighboring Federal Building as the University’s first permanent home. SUNY moved into its offices in 1978.</w:t>
      </w:r>
    </w:p>
    <w:p w14:paraId="7DEC539C" w14:textId="77777777" w:rsidR="0052615A" w:rsidRPr="00FB162F" w:rsidRDefault="0052615A" w:rsidP="00914A48">
      <w:pPr>
        <w:spacing w:after="0" w:line="240" w:lineRule="auto"/>
        <w:contextualSpacing/>
        <w:rPr>
          <w:color w:val="000000" w:themeColor="text1"/>
        </w:rPr>
      </w:pPr>
    </w:p>
    <w:p w14:paraId="756497C2" w14:textId="77777777" w:rsidR="0052615A" w:rsidRPr="00FB162F" w:rsidRDefault="0052615A" w:rsidP="00914A48">
      <w:pPr>
        <w:spacing w:after="0" w:line="240" w:lineRule="auto"/>
        <w:contextualSpacing/>
        <w:rPr>
          <w:color w:val="000000" w:themeColor="text1"/>
        </w:rPr>
      </w:pPr>
      <w:r w:rsidRPr="00FB162F">
        <w:rPr>
          <w:color w:val="000000" w:themeColor="text1"/>
        </w:rPr>
        <w:t>Including the Federal Building, the entire 260,000-square-foot property stands four stories high with a 13-story central tower. Extending the tower’s height, an 8-foot-tall copper weathervane bearing a replica of Henry Hudson’s “Half Moon” ship caps the building.</w:t>
      </w:r>
    </w:p>
    <w:p w14:paraId="4D580300" w14:textId="77777777" w:rsidR="0052615A" w:rsidRPr="00FB162F" w:rsidRDefault="0052615A" w:rsidP="00914A48">
      <w:pPr>
        <w:spacing w:after="0" w:line="240" w:lineRule="auto"/>
        <w:contextualSpacing/>
        <w:rPr>
          <w:color w:val="000000" w:themeColor="text1"/>
        </w:rPr>
      </w:pPr>
    </w:p>
    <w:p w14:paraId="157DD63E" w14:textId="64AB806E" w:rsidR="0052615A" w:rsidRPr="00FB162F" w:rsidRDefault="0052615A" w:rsidP="00914A48">
      <w:pPr>
        <w:spacing w:after="0" w:line="240" w:lineRule="auto"/>
        <w:contextualSpacing/>
        <w:rPr>
          <w:color w:val="000000" w:themeColor="text1"/>
        </w:rPr>
      </w:pPr>
      <w:r w:rsidRPr="00FB162F">
        <w:rPr>
          <w:color w:val="000000" w:themeColor="text1"/>
        </w:rPr>
        <w:t xml:space="preserve">The building, often still called “D&amp;H” for its railroad heritage, is an icon in both place and time. </w:t>
      </w:r>
      <w:r w:rsidR="00A93825" w:rsidRPr="00FB162F">
        <w:rPr>
          <w:color w:val="000000" w:themeColor="text1"/>
        </w:rPr>
        <w:t xml:space="preserve">To replace the property’s aging windows, </w:t>
      </w:r>
      <w:r w:rsidRPr="00FB162F">
        <w:rPr>
          <w:color w:val="000000" w:themeColor="text1"/>
        </w:rPr>
        <w:t xml:space="preserve">SUNY </w:t>
      </w:r>
      <w:r w:rsidR="00A93825" w:rsidRPr="00FB162F">
        <w:rPr>
          <w:color w:val="000000" w:themeColor="text1"/>
        </w:rPr>
        <w:t>sought a solution that would maintain its historic appearance while modernizing its performance to provide a comfortable interior for many years to come.</w:t>
      </w:r>
    </w:p>
    <w:p w14:paraId="2FB8509B" w14:textId="01CADA34" w:rsidR="00B93F02" w:rsidRPr="00FB162F" w:rsidRDefault="00B93F02" w:rsidP="00914A48">
      <w:pPr>
        <w:spacing w:after="0" w:line="240" w:lineRule="auto"/>
        <w:contextualSpacing/>
        <w:rPr>
          <w:rFonts w:cs="Times"/>
          <w:color w:val="000000" w:themeColor="text1"/>
        </w:rPr>
      </w:pPr>
    </w:p>
    <w:p w14:paraId="5E21AC52" w14:textId="226AF4F9" w:rsidR="00A93825" w:rsidRDefault="00A93825" w:rsidP="00914A48">
      <w:pPr>
        <w:spacing w:after="0" w:line="240" w:lineRule="auto"/>
        <w:contextualSpacing/>
        <w:rPr>
          <w:color w:val="000000" w:themeColor="text1"/>
        </w:rPr>
      </w:pPr>
      <w:r w:rsidRPr="00FB162F">
        <w:rPr>
          <w:rFonts w:cs="Times"/>
          <w:color w:val="000000" w:themeColor="text1"/>
        </w:rPr>
        <w:t>Acoustic and thermal comfort were among the top performance consideration</w:t>
      </w:r>
      <w:r w:rsidR="00E37EDA">
        <w:rPr>
          <w:rFonts w:cs="Times"/>
          <w:color w:val="000000" w:themeColor="text1"/>
        </w:rPr>
        <w:t>s</w:t>
      </w:r>
      <w:r w:rsidRPr="00FB162F">
        <w:rPr>
          <w:rFonts w:cs="Times"/>
          <w:color w:val="000000" w:themeColor="text1"/>
        </w:rPr>
        <w:t xml:space="preserve">. </w:t>
      </w:r>
      <w:r w:rsidRPr="00FB162F">
        <w:rPr>
          <w:color w:val="000000" w:themeColor="text1"/>
        </w:rPr>
        <w:t xml:space="preserve">Interstate 787 runs behind the D&amp;H building </w:t>
      </w:r>
      <w:r w:rsidR="006435B8" w:rsidRPr="00FB162F">
        <w:rPr>
          <w:color w:val="000000" w:themeColor="text1"/>
        </w:rPr>
        <w:t xml:space="preserve">and its proximity can be </w:t>
      </w:r>
      <w:r w:rsidRPr="00FB162F">
        <w:rPr>
          <w:color w:val="000000" w:themeColor="text1"/>
        </w:rPr>
        <w:t xml:space="preserve">a noisy distraction to the building’s occupants. </w:t>
      </w:r>
      <w:r w:rsidR="006435B8" w:rsidRPr="00FB162F">
        <w:rPr>
          <w:color w:val="000000" w:themeColor="text1"/>
        </w:rPr>
        <w:t xml:space="preserve">Upstate New York also is well known for its cold, windy winters. </w:t>
      </w:r>
      <w:r w:rsidR="00E37EDA">
        <w:rPr>
          <w:color w:val="000000" w:themeColor="text1"/>
        </w:rPr>
        <w:t>I</w:t>
      </w:r>
      <w:r w:rsidR="006435B8" w:rsidRPr="00FB162F">
        <w:rPr>
          <w:color w:val="000000" w:themeColor="text1"/>
        </w:rPr>
        <w:t>n the summer, even moderate outdoor temperatures can elevate indoor conditions to be too warm with the unwanted solar heat of direct daylight.</w:t>
      </w:r>
    </w:p>
    <w:p w14:paraId="4D78E7CE" w14:textId="326196B7" w:rsidR="00D622DA" w:rsidRDefault="00D622DA" w:rsidP="00914A48">
      <w:pPr>
        <w:spacing w:after="0" w:line="240" w:lineRule="auto"/>
        <w:contextualSpacing/>
        <w:rPr>
          <w:rFonts w:cs="Times"/>
          <w:color w:val="000000" w:themeColor="text1"/>
        </w:rPr>
      </w:pPr>
    </w:p>
    <w:p w14:paraId="338B74BD" w14:textId="77777777" w:rsidR="00185474" w:rsidRDefault="00185474" w:rsidP="00914A48">
      <w:pPr>
        <w:spacing w:after="0" w:line="240" w:lineRule="auto"/>
        <w:contextualSpacing/>
        <w:rPr>
          <w:rFonts w:cs="Times"/>
          <w:color w:val="000000" w:themeColor="text1"/>
        </w:rPr>
      </w:pPr>
    </w:p>
    <w:p w14:paraId="0B4F77C0" w14:textId="2E499A16" w:rsidR="00185474" w:rsidRPr="00984096" w:rsidRDefault="00185474" w:rsidP="00914A48">
      <w:pPr>
        <w:spacing w:after="0" w:line="240" w:lineRule="auto"/>
        <w:contextualSpacing/>
        <w:rPr>
          <w:rFonts w:ascii="Futura Medium" w:hAnsi="Futura Medium" w:cs="Futura Medium"/>
          <w:b/>
          <w:i/>
          <w:color w:val="000000" w:themeColor="text1"/>
        </w:rPr>
      </w:pPr>
      <w:r w:rsidRPr="00984096">
        <w:rPr>
          <w:rFonts w:ascii="Futura Medium" w:hAnsi="Futura Medium" w:cs="Futura Medium" w:hint="cs"/>
          <w:b/>
          <w:i/>
          <w:color w:val="000000" w:themeColor="text1"/>
        </w:rPr>
        <w:t xml:space="preserve">Energy Efficiency </w:t>
      </w:r>
      <w:r w:rsidR="00984096" w:rsidRPr="00984096">
        <w:rPr>
          <w:rFonts w:ascii="Futura Medium" w:hAnsi="Futura Medium" w:cs="Futura Medium" w:hint="cs"/>
          <w:b/>
          <w:i/>
          <w:color w:val="000000" w:themeColor="text1"/>
        </w:rPr>
        <w:t>Essential to Campus Sustainabilit</w:t>
      </w:r>
      <w:r w:rsidR="00984096">
        <w:rPr>
          <w:rFonts w:ascii="Futura Medium" w:hAnsi="Futura Medium" w:cs="Futura Medium"/>
          <w:b/>
          <w:i/>
          <w:color w:val="000000" w:themeColor="text1"/>
        </w:rPr>
        <w:t>y</w:t>
      </w:r>
    </w:p>
    <w:p w14:paraId="08E19A60" w14:textId="77777777" w:rsidR="00185474" w:rsidRPr="00185474" w:rsidRDefault="00185474" w:rsidP="00914A48">
      <w:pPr>
        <w:spacing w:after="0" w:line="240" w:lineRule="auto"/>
        <w:contextualSpacing/>
        <w:rPr>
          <w:rFonts w:cs="Times"/>
          <w:b/>
          <w:i/>
          <w:color w:val="000000" w:themeColor="text1"/>
        </w:rPr>
      </w:pPr>
    </w:p>
    <w:p w14:paraId="64DFABE4" w14:textId="2944E508" w:rsidR="00D622DA" w:rsidRDefault="00D622DA" w:rsidP="00914A48">
      <w:pPr>
        <w:spacing w:after="0" w:line="240" w:lineRule="auto"/>
        <w:contextualSpacing/>
        <w:rPr>
          <w:rFonts w:cs="Times"/>
          <w:color w:val="000000" w:themeColor="text1"/>
        </w:rPr>
      </w:pPr>
      <w:r>
        <w:rPr>
          <w:rFonts w:cs="Times"/>
          <w:color w:val="000000" w:themeColor="text1"/>
        </w:rPr>
        <w:t xml:space="preserve">Daylighting strategies and views to the outdoors, combined with acoustic and thermal performance, </w:t>
      </w:r>
      <w:r w:rsidR="00A72870">
        <w:rPr>
          <w:rFonts w:cs="Times"/>
          <w:color w:val="000000" w:themeColor="text1"/>
        </w:rPr>
        <w:t xml:space="preserve">allow for </w:t>
      </w:r>
      <w:r>
        <w:rPr>
          <w:rFonts w:cs="Times"/>
          <w:color w:val="000000" w:themeColor="text1"/>
        </w:rPr>
        <w:t xml:space="preserve">a more consistent, comfortable interior environment with a </w:t>
      </w:r>
      <w:r w:rsidR="00A72870">
        <w:rPr>
          <w:rFonts w:cs="Times"/>
          <w:color w:val="000000" w:themeColor="text1"/>
        </w:rPr>
        <w:t xml:space="preserve">visual </w:t>
      </w:r>
      <w:r>
        <w:rPr>
          <w:rFonts w:cs="Times"/>
          <w:color w:val="000000" w:themeColor="text1"/>
        </w:rPr>
        <w:t xml:space="preserve">connection to the </w:t>
      </w:r>
      <w:r w:rsidR="00E37EDA">
        <w:rPr>
          <w:rFonts w:cs="Times"/>
          <w:color w:val="000000" w:themeColor="text1"/>
        </w:rPr>
        <w:t>historic downtown neighborhood</w:t>
      </w:r>
      <w:r>
        <w:rPr>
          <w:rFonts w:cs="Times"/>
          <w:color w:val="000000" w:themeColor="text1"/>
        </w:rPr>
        <w:t>. These attributes also are associated with improved concentration and wellness</w:t>
      </w:r>
      <w:r w:rsidR="00BC221F">
        <w:rPr>
          <w:rFonts w:cs="Times"/>
          <w:color w:val="000000" w:themeColor="text1"/>
        </w:rPr>
        <w:t xml:space="preserve">. </w:t>
      </w:r>
      <w:r w:rsidR="00A72870">
        <w:rPr>
          <w:rFonts w:cs="Times"/>
          <w:color w:val="000000" w:themeColor="text1"/>
        </w:rPr>
        <w:t xml:space="preserve">In addition, high-performance, operable windows assist </w:t>
      </w:r>
      <w:r w:rsidR="00185474">
        <w:rPr>
          <w:rFonts w:cs="Times"/>
          <w:color w:val="000000" w:themeColor="text1"/>
        </w:rPr>
        <w:t xml:space="preserve">in </w:t>
      </w:r>
      <w:r w:rsidR="00A72870">
        <w:rPr>
          <w:rFonts w:cs="Times"/>
          <w:color w:val="000000" w:themeColor="text1"/>
        </w:rPr>
        <w:t>reduc</w:t>
      </w:r>
      <w:r w:rsidR="00185474">
        <w:rPr>
          <w:rFonts w:cs="Times"/>
          <w:color w:val="000000" w:themeColor="text1"/>
        </w:rPr>
        <w:t xml:space="preserve">ing </w:t>
      </w:r>
      <w:r w:rsidR="00A72870">
        <w:rPr>
          <w:rFonts w:cs="Times"/>
          <w:color w:val="000000" w:themeColor="text1"/>
        </w:rPr>
        <w:t xml:space="preserve">HVAC </w:t>
      </w:r>
      <w:r w:rsidR="00185474">
        <w:rPr>
          <w:rFonts w:cs="Times"/>
          <w:color w:val="000000" w:themeColor="text1"/>
        </w:rPr>
        <w:t>demands</w:t>
      </w:r>
      <w:r w:rsidR="00A72870">
        <w:rPr>
          <w:rFonts w:cs="Times"/>
          <w:color w:val="000000" w:themeColor="text1"/>
        </w:rPr>
        <w:t xml:space="preserve"> and provide a seasonal opportunity for natural ventilation.</w:t>
      </w:r>
      <w:r w:rsidR="00185474">
        <w:rPr>
          <w:rFonts w:cs="Times"/>
          <w:color w:val="000000" w:themeColor="text1"/>
        </w:rPr>
        <w:t xml:space="preserve"> Lowering energy consumption not only saves on costs, but also decreases emissions and conserves resources.</w:t>
      </w:r>
    </w:p>
    <w:p w14:paraId="27BE7822" w14:textId="51138A1D" w:rsidR="00A72870" w:rsidRDefault="00A72870" w:rsidP="00914A48">
      <w:pPr>
        <w:spacing w:after="0" w:line="240" w:lineRule="auto"/>
        <w:contextualSpacing/>
        <w:rPr>
          <w:rFonts w:cs="Times"/>
          <w:color w:val="000000" w:themeColor="text1"/>
        </w:rPr>
      </w:pPr>
    </w:p>
    <w:p w14:paraId="75A66B99" w14:textId="38C4739D" w:rsidR="00A72870" w:rsidRDefault="00A72870" w:rsidP="00914A48">
      <w:pPr>
        <w:spacing w:after="0" w:line="240" w:lineRule="auto"/>
        <w:contextualSpacing/>
        <w:rPr>
          <w:rFonts w:cs="Times"/>
          <w:color w:val="000000" w:themeColor="text1"/>
        </w:rPr>
      </w:pPr>
      <w:r>
        <w:rPr>
          <w:rFonts w:cs="Times"/>
          <w:color w:val="000000" w:themeColor="text1"/>
        </w:rPr>
        <w:lastRenderedPageBreak/>
        <w:t>The University of Albany/SUNY reported spending approximately $7 million on electricity</w:t>
      </w:r>
      <w:r w:rsidR="00C7400B">
        <w:rPr>
          <w:rFonts w:cs="Times"/>
          <w:color w:val="000000" w:themeColor="text1"/>
        </w:rPr>
        <w:t xml:space="preserve">, more than $5 million to heat and cool campus buildings, </w:t>
      </w:r>
      <w:r>
        <w:rPr>
          <w:rFonts w:cs="Times"/>
          <w:color w:val="000000" w:themeColor="text1"/>
        </w:rPr>
        <w:t xml:space="preserve">and more than $15 </w:t>
      </w:r>
      <w:r w:rsidR="00686000">
        <w:rPr>
          <w:rFonts w:cs="Times"/>
          <w:color w:val="000000" w:themeColor="text1"/>
        </w:rPr>
        <w:t xml:space="preserve">million </w:t>
      </w:r>
      <w:r>
        <w:rPr>
          <w:rFonts w:cs="Times"/>
          <w:color w:val="000000" w:themeColor="text1"/>
        </w:rPr>
        <w:t>in utility costs annual</w:t>
      </w:r>
      <w:r w:rsidR="00E37EDA">
        <w:rPr>
          <w:rFonts w:cs="Times"/>
          <w:color w:val="000000" w:themeColor="text1"/>
        </w:rPr>
        <w:t>ly</w:t>
      </w:r>
      <w:r>
        <w:rPr>
          <w:rFonts w:cs="Times"/>
          <w:color w:val="000000" w:themeColor="text1"/>
        </w:rPr>
        <w:t>. To improve on the University’s energy efficiency and sustainability efforts, its director of environmental sustainability works closely with its energy manager to assess energy</w:t>
      </w:r>
      <w:r w:rsidR="00E37EDA">
        <w:rPr>
          <w:rFonts w:cs="Times"/>
          <w:color w:val="000000" w:themeColor="text1"/>
        </w:rPr>
        <w:t xml:space="preserve"> use </w:t>
      </w:r>
      <w:r w:rsidR="00C14F6B">
        <w:rPr>
          <w:rFonts w:cs="Times"/>
          <w:color w:val="000000" w:themeColor="text1"/>
        </w:rPr>
        <w:t>p</w:t>
      </w:r>
      <w:r w:rsidR="00E37EDA">
        <w:rPr>
          <w:rFonts w:cs="Times"/>
          <w:color w:val="000000" w:themeColor="text1"/>
        </w:rPr>
        <w:t>atterns</w:t>
      </w:r>
      <w:r>
        <w:rPr>
          <w:rFonts w:cs="Times"/>
          <w:color w:val="000000" w:themeColor="text1"/>
        </w:rPr>
        <w:t xml:space="preserve">, promote conservation and implement green technologies across campus. </w:t>
      </w:r>
      <w:r w:rsidR="009B51F2">
        <w:rPr>
          <w:rFonts w:cs="Times"/>
          <w:color w:val="000000" w:themeColor="text1"/>
        </w:rPr>
        <w:t>According to the University, these actions help reduce air pollution, greenhouse gas emissions and produce significant cost savings.</w:t>
      </w:r>
    </w:p>
    <w:p w14:paraId="13AD49F3" w14:textId="79FA9BEE" w:rsidR="00185474" w:rsidRDefault="00185474" w:rsidP="00914A48">
      <w:pPr>
        <w:spacing w:after="0" w:line="240" w:lineRule="auto"/>
        <w:contextualSpacing/>
        <w:rPr>
          <w:rFonts w:cs="Times"/>
          <w:color w:val="000000" w:themeColor="text1"/>
        </w:rPr>
      </w:pPr>
    </w:p>
    <w:p w14:paraId="4DBF4DCC" w14:textId="4CFDE3BE" w:rsidR="00D622DA" w:rsidRPr="00FB162F" w:rsidRDefault="00185474" w:rsidP="00914A48">
      <w:pPr>
        <w:spacing w:after="0" w:line="240" w:lineRule="auto"/>
        <w:contextualSpacing/>
        <w:rPr>
          <w:rFonts w:cs="Times"/>
          <w:color w:val="000000" w:themeColor="text1"/>
        </w:rPr>
      </w:pPr>
      <w:r>
        <w:rPr>
          <w:rFonts w:cs="Times"/>
          <w:color w:val="000000" w:themeColor="text1"/>
        </w:rPr>
        <w:t>Just prior to the D&amp;H Administrative building’s renovation, the University of Albany signed the American College and University President</w:t>
      </w:r>
      <w:r w:rsidR="001143A5">
        <w:rPr>
          <w:rFonts w:cs="Times"/>
          <w:color w:val="000000" w:themeColor="text1"/>
        </w:rPr>
        <w:t>s</w:t>
      </w:r>
      <w:r>
        <w:rPr>
          <w:rFonts w:cs="Times"/>
          <w:color w:val="000000" w:themeColor="text1"/>
        </w:rPr>
        <w:t xml:space="preserve">’ Climate Commitment outline its commitment to reducing its greenhouse </w:t>
      </w:r>
      <w:r w:rsidR="00E37EDA">
        <w:rPr>
          <w:rFonts w:cs="Times"/>
          <w:color w:val="000000" w:themeColor="text1"/>
        </w:rPr>
        <w:t>g</w:t>
      </w:r>
      <w:r>
        <w:rPr>
          <w:rFonts w:cs="Times"/>
          <w:color w:val="000000" w:themeColor="text1"/>
        </w:rPr>
        <w:t xml:space="preserve">as emissions by 20 percent from its 2005 levels by 2020. </w:t>
      </w:r>
      <w:r w:rsidR="00984096">
        <w:rPr>
          <w:rFonts w:cs="Times"/>
          <w:color w:val="000000" w:themeColor="text1"/>
        </w:rPr>
        <w:t>To reach these goals, the University’</w:t>
      </w:r>
      <w:r>
        <w:rPr>
          <w:rFonts w:cs="Times"/>
          <w:color w:val="000000" w:themeColor="text1"/>
        </w:rPr>
        <w:t xml:space="preserve">s “High Performance Building Guidelines” </w:t>
      </w:r>
      <w:r w:rsidR="00984096">
        <w:rPr>
          <w:rFonts w:cs="Times"/>
          <w:color w:val="000000" w:themeColor="text1"/>
        </w:rPr>
        <w:t>requires m</w:t>
      </w:r>
      <w:r>
        <w:rPr>
          <w:rFonts w:cs="Times"/>
          <w:color w:val="000000" w:themeColor="text1"/>
        </w:rPr>
        <w:t>ajor renovation projects</w:t>
      </w:r>
      <w:r w:rsidR="00984096">
        <w:rPr>
          <w:rFonts w:cs="Times"/>
          <w:color w:val="000000" w:themeColor="text1"/>
        </w:rPr>
        <w:t xml:space="preserve"> to achieve</w:t>
      </w:r>
      <w:r>
        <w:rPr>
          <w:rFonts w:cs="Times"/>
          <w:color w:val="000000" w:themeColor="text1"/>
        </w:rPr>
        <w:t xml:space="preserve"> </w:t>
      </w:r>
      <w:r w:rsidR="00984096">
        <w:rPr>
          <w:rFonts w:cs="Times"/>
          <w:color w:val="000000" w:themeColor="text1"/>
        </w:rPr>
        <w:t xml:space="preserve">a 17 to </w:t>
      </w:r>
      <w:r>
        <w:rPr>
          <w:rFonts w:cs="Times"/>
          <w:color w:val="000000" w:themeColor="text1"/>
        </w:rPr>
        <w:t>19 percent reduction in total energy costs</w:t>
      </w:r>
      <w:r w:rsidR="00984096">
        <w:rPr>
          <w:rFonts w:cs="Times"/>
          <w:color w:val="000000" w:themeColor="text1"/>
        </w:rPr>
        <w:t xml:space="preserve">, and specifically includes window selection as </w:t>
      </w:r>
      <w:r w:rsidR="00E37EDA">
        <w:rPr>
          <w:rFonts w:cs="Times"/>
          <w:color w:val="000000" w:themeColor="text1"/>
        </w:rPr>
        <w:t>a key</w:t>
      </w:r>
      <w:r w:rsidR="00984096">
        <w:rPr>
          <w:rFonts w:cs="Times"/>
          <w:color w:val="000000" w:themeColor="text1"/>
        </w:rPr>
        <w:t xml:space="preserve"> consideration.</w:t>
      </w:r>
    </w:p>
    <w:p w14:paraId="216B3A48" w14:textId="5CB08B54" w:rsidR="0052615A" w:rsidRPr="00FB162F" w:rsidRDefault="0052615A" w:rsidP="00914A48">
      <w:pPr>
        <w:spacing w:after="0" w:line="240" w:lineRule="auto"/>
        <w:contextualSpacing/>
        <w:rPr>
          <w:rFonts w:cs="Times"/>
          <w:color w:val="000000" w:themeColor="text1"/>
        </w:rPr>
      </w:pPr>
    </w:p>
    <w:p w14:paraId="7BDDF139" w14:textId="77777777" w:rsidR="006057EB" w:rsidRPr="00FB162F" w:rsidRDefault="006057EB" w:rsidP="00914A48">
      <w:pPr>
        <w:spacing w:after="0" w:line="240" w:lineRule="auto"/>
        <w:contextualSpacing/>
        <w:rPr>
          <w:rFonts w:cs="Times"/>
          <w:color w:val="000000" w:themeColor="text1"/>
        </w:rPr>
      </w:pPr>
    </w:p>
    <w:p w14:paraId="6775517C" w14:textId="39E0CE44" w:rsidR="006057EB" w:rsidRPr="00FB162F" w:rsidRDefault="00354DD9" w:rsidP="00914A48">
      <w:pPr>
        <w:spacing w:after="0" w:line="240" w:lineRule="auto"/>
        <w:contextualSpacing/>
        <w:rPr>
          <w:rFonts w:ascii="Futura Medium" w:hAnsi="Futura Medium" w:cs="Futura Medium"/>
          <w:b/>
          <w:i/>
          <w:color w:val="000000" w:themeColor="text1"/>
        </w:rPr>
      </w:pPr>
      <w:r w:rsidRPr="00FB162F">
        <w:rPr>
          <w:rFonts w:ascii="Futura Medium" w:hAnsi="Futura Medium" w:cs="Futura Medium"/>
          <w:b/>
          <w:i/>
          <w:color w:val="000000" w:themeColor="text1"/>
        </w:rPr>
        <w:t>Form and Function</w:t>
      </w:r>
      <w:r w:rsidR="00B86C86" w:rsidRPr="00FB162F">
        <w:rPr>
          <w:rFonts w:ascii="Futura Medium" w:hAnsi="Futura Medium" w:cs="Futura Medium"/>
          <w:b/>
          <w:i/>
          <w:color w:val="000000" w:themeColor="text1"/>
        </w:rPr>
        <w:t xml:space="preserve"> with Simulated Double-Hung Windows</w:t>
      </w:r>
    </w:p>
    <w:p w14:paraId="1AC3F07E" w14:textId="77777777" w:rsidR="006057EB" w:rsidRPr="00FB162F" w:rsidRDefault="006057EB" w:rsidP="00914A48">
      <w:pPr>
        <w:spacing w:after="0" w:line="240" w:lineRule="auto"/>
        <w:contextualSpacing/>
        <w:rPr>
          <w:color w:val="000000" w:themeColor="text1"/>
        </w:rPr>
      </w:pPr>
    </w:p>
    <w:p w14:paraId="79E9D9CB" w14:textId="59B3A28D" w:rsidR="006057EB" w:rsidRPr="00FB162F" w:rsidRDefault="006057EB" w:rsidP="00914A48">
      <w:pPr>
        <w:spacing w:after="0" w:line="240" w:lineRule="auto"/>
        <w:contextualSpacing/>
        <w:rPr>
          <w:color w:val="000000" w:themeColor="text1"/>
        </w:rPr>
      </w:pPr>
      <w:r w:rsidRPr="00FB162F">
        <w:rPr>
          <w:color w:val="000000" w:themeColor="text1"/>
        </w:rPr>
        <w:t xml:space="preserve">To </w:t>
      </w:r>
      <w:r w:rsidR="00EB1A25" w:rsidRPr="00FB162F">
        <w:rPr>
          <w:color w:val="000000" w:themeColor="text1"/>
        </w:rPr>
        <w:t>accomplish</w:t>
      </w:r>
      <w:r w:rsidRPr="00FB162F">
        <w:rPr>
          <w:color w:val="000000" w:themeColor="text1"/>
        </w:rPr>
        <w:t xml:space="preserve"> its </w:t>
      </w:r>
      <w:r w:rsidR="00984096">
        <w:rPr>
          <w:color w:val="000000" w:themeColor="text1"/>
        </w:rPr>
        <w:t xml:space="preserve">sustainability, </w:t>
      </w:r>
      <w:r w:rsidRPr="00FB162F">
        <w:rPr>
          <w:color w:val="000000" w:themeColor="text1"/>
        </w:rPr>
        <w:t xml:space="preserve">aesthetic, performance, schedule and budget goals for the window renovation project, SUNY worked </w:t>
      </w:r>
      <w:r w:rsidR="006435B8" w:rsidRPr="00FB162F">
        <w:rPr>
          <w:color w:val="000000" w:themeColor="text1"/>
        </w:rPr>
        <w:t>with architecture+, glazing contractors Ajay Glass and TGR Enterprises, and Wausau Window and Wall Systems</w:t>
      </w:r>
      <w:r w:rsidRPr="00FB162F">
        <w:rPr>
          <w:color w:val="000000" w:themeColor="text1"/>
        </w:rPr>
        <w:t xml:space="preserve">. </w:t>
      </w:r>
      <w:r w:rsidR="00354DD9" w:rsidRPr="00FB162F">
        <w:rPr>
          <w:color w:val="000000" w:themeColor="text1"/>
        </w:rPr>
        <w:t xml:space="preserve">Linetec provided the finishing on Wausau’s aluminum framed products. </w:t>
      </w:r>
      <w:r w:rsidRPr="00FB162F">
        <w:rPr>
          <w:color w:val="000000" w:themeColor="text1"/>
        </w:rPr>
        <w:t>Wausau,</w:t>
      </w:r>
      <w:r w:rsidR="00354DD9" w:rsidRPr="00FB162F">
        <w:rPr>
          <w:color w:val="000000" w:themeColor="text1"/>
        </w:rPr>
        <w:t xml:space="preserve"> Linetec</w:t>
      </w:r>
      <w:r w:rsidRPr="00FB162F">
        <w:rPr>
          <w:color w:val="000000" w:themeColor="text1"/>
        </w:rPr>
        <w:t xml:space="preserve"> and the Apogee Renovation team, are all part of Apogee Enterprises, Inc.</w:t>
      </w:r>
    </w:p>
    <w:p w14:paraId="2E5956AB" w14:textId="77777777" w:rsidR="006057EB" w:rsidRPr="00FB162F" w:rsidRDefault="006057EB" w:rsidP="00914A48">
      <w:pPr>
        <w:spacing w:after="0" w:line="240" w:lineRule="auto"/>
        <w:contextualSpacing/>
        <w:rPr>
          <w:color w:val="000000" w:themeColor="text1"/>
        </w:rPr>
      </w:pPr>
    </w:p>
    <w:p w14:paraId="70B37F66" w14:textId="2E67A0DC" w:rsidR="00F25C80" w:rsidRDefault="00E37EDA" w:rsidP="00E37EDA">
      <w:pPr>
        <w:spacing w:after="0" w:line="240" w:lineRule="auto"/>
        <w:contextualSpacing/>
        <w:rPr>
          <w:color w:val="000000" w:themeColor="text1"/>
        </w:rPr>
      </w:pPr>
      <w:r>
        <w:rPr>
          <w:color w:val="000000" w:themeColor="text1"/>
        </w:rPr>
        <w:t>Closely matching</w:t>
      </w:r>
      <w:r w:rsidRPr="00E37EDA">
        <w:rPr>
          <w:color w:val="000000" w:themeColor="text1"/>
        </w:rPr>
        <w:t xml:space="preserve"> the look of </w:t>
      </w:r>
      <w:r>
        <w:rPr>
          <w:color w:val="000000" w:themeColor="text1"/>
        </w:rPr>
        <w:t>original</w:t>
      </w:r>
      <w:r w:rsidRPr="00E37EDA">
        <w:rPr>
          <w:color w:val="000000" w:themeColor="text1"/>
        </w:rPr>
        <w:t xml:space="preserve"> windows, Wausau</w:t>
      </w:r>
      <w:r>
        <w:rPr>
          <w:color w:val="000000" w:themeColor="text1"/>
        </w:rPr>
        <w:t xml:space="preserve"> </w:t>
      </w:r>
      <w:r w:rsidRPr="00E37EDA">
        <w:rPr>
          <w:color w:val="000000" w:themeColor="text1"/>
        </w:rPr>
        <w:t>provided “simulated double-hung” windows for the</w:t>
      </w:r>
      <w:r>
        <w:rPr>
          <w:color w:val="000000" w:themeColor="text1"/>
        </w:rPr>
        <w:t xml:space="preserve"> </w:t>
      </w:r>
      <w:r w:rsidRPr="00E37EDA">
        <w:rPr>
          <w:color w:val="000000" w:themeColor="text1"/>
        </w:rPr>
        <w:t>SUNY Administrative building renovation. Available</w:t>
      </w:r>
      <w:r>
        <w:rPr>
          <w:color w:val="000000" w:themeColor="text1"/>
        </w:rPr>
        <w:t xml:space="preserve"> </w:t>
      </w:r>
      <w:r w:rsidRPr="00E37EDA">
        <w:rPr>
          <w:color w:val="000000" w:themeColor="text1"/>
        </w:rPr>
        <w:t>as project-in hopper vents, project-out awning vents and</w:t>
      </w:r>
      <w:r>
        <w:rPr>
          <w:color w:val="000000" w:themeColor="text1"/>
        </w:rPr>
        <w:t xml:space="preserve"> </w:t>
      </w:r>
      <w:r w:rsidRPr="00E37EDA">
        <w:rPr>
          <w:color w:val="000000" w:themeColor="text1"/>
        </w:rPr>
        <w:t>casements, the newest 4250i and 4250i-XLT I</w:t>
      </w:r>
      <w:r w:rsidR="00B237BB" w:rsidRPr="00E37EDA">
        <w:rPr>
          <w:color w:val="000000" w:themeColor="text1"/>
        </w:rPr>
        <w:t>n</w:t>
      </w:r>
      <w:r w:rsidRPr="00E37EDA">
        <w:rPr>
          <w:color w:val="000000" w:themeColor="text1"/>
        </w:rPr>
        <w:t>ven</w:t>
      </w:r>
      <w:r w:rsidR="00B237BB">
        <w:rPr>
          <w:color w:val="000000" w:themeColor="text1"/>
        </w:rPr>
        <w:t>t</w:t>
      </w:r>
      <w:r w:rsidR="00B237BB" w:rsidRPr="00B237BB">
        <w:rPr>
          <w:color w:val="000000" w:themeColor="text1"/>
          <w:vertAlign w:val="superscript"/>
        </w:rPr>
        <w:t>™</w:t>
      </w:r>
      <w:r w:rsidR="00B237BB">
        <w:rPr>
          <w:color w:val="000000" w:themeColor="text1"/>
        </w:rPr>
        <w:t xml:space="preserve"> S</w:t>
      </w:r>
      <w:bookmarkStart w:id="0" w:name="_GoBack"/>
      <w:bookmarkEnd w:id="0"/>
      <w:r w:rsidRPr="00E37EDA">
        <w:rPr>
          <w:color w:val="000000" w:themeColor="text1"/>
        </w:rPr>
        <w:t>eries options replicate existing double-hung sash with</w:t>
      </w:r>
      <w:r>
        <w:rPr>
          <w:color w:val="000000" w:themeColor="text1"/>
        </w:rPr>
        <w:t xml:space="preserve"> </w:t>
      </w:r>
      <w:r w:rsidRPr="00E37EDA">
        <w:rPr>
          <w:color w:val="000000" w:themeColor="text1"/>
        </w:rPr>
        <w:t>offset glass planes.</w:t>
      </w:r>
    </w:p>
    <w:p w14:paraId="1BC49287" w14:textId="77777777" w:rsidR="00E37EDA" w:rsidRPr="00FB162F" w:rsidRDefault="00E37EDA" w:rsidP="00E37EDA">
      <w:pPr>
        <w:spacing w:after="0" w:line="240" w:lineRule="auto"/>
        <w:contextualSpacing/>
        <w:rPr>
          <w:color w:val="000000" w:themeColor="text1"/>
        </w:rPr>
      </w:pPr>
    </w:p>
    <w:p w14:paraId="02700BF2" w14:textId="77777777" w:rsidR="000E2149" w:rsidRPr="00FB162F" w:rsidRDefault="000E2149" w:rsidP="00914A48">
      <w:pPr>
        <w:spacing w:after="0" w:line="240" w:lineRule="auto"/>
        <w:contextualSpacing/>
        <w:rPr>
          <w:color w:val="000000" w:themeColor="text1"/>
        </w:rPr>
      </w:pPr>
    </w:p>
    <w:p w14:paraId="15084A6F" w14:textId="7950E054" w:rsidR="000E2149" w:rsidRPr="00FB162F" w:rsidRDefault="00B86C86" w:rsidP="00914A48">
      <w:pPr>
        <w:spacing w:after="0" w:line="240" w:lineRule="auto"/>
        <w:contextualSpacing/>
        <w:rPr>
          <w:color w:val="000000" w:themeColor="text1"/>
        </w:rPr>
      </w:pPr>
      <w:r w:rsidRPr="00FB162F">
        <w:rPr>
          <w:color w:val="000000" w:themeColor="text1"/>
        </w:rPr>
        <w:t>“</w:t>
      </w:r>
      <w:r w:rsidRPr="00FB162F">
        <w:rPr>
          <w:color w:val="000000" w:themeColor="text1"/>
          <w:szCs w:val="18"/>
        </w:rPr>
        <w:t xml:space="preserve">Projected windows require less effort to open and close than hung units. Presenting the look of hung windows </w:t>
      </w:r>
      <w:r w:rsidR="00E37EDA">
        <w:rPr>
          <w:color w:val="000000" w:themeColor="text1"/>
          <w:szCs w:val="18"/>
        </w:rPr>
        <w:t>provides</w:t>
      </w:r>
      <w:r w:rsidR="00E37EDA" w:rsidRPr="00FB162F">
        <w:rPr>
          <w:color w:val="000000" w:themeColor="text1"/>
          <w:szCs w:val="18"/>
        </w:rPr>
        <w:t xml:space="preserve"> </w:t>
      </w:r>
      <w:r w:rsidRPr="00FB162F">
        <w:rPr>
          <w:color w:val="000000" w:themeColor="text1"/>
          <w:szCs w:val="18"/>
        </w:rPr>
        <w:t xml:space="preserve">the desired appearance, </w:t>
      </w:r>
      <w:r w:rsidR="00E37EDA">
        <w:rPr>
          <w:color w:val="000000" w:themeColor="text1"/>
          <w:szCs w:val="18"/>
        </w:rPr>
        <w:t>while</w:t>
      </w:r>
      <w:r w:rsidRPr="00FB162F">
        <w:rPr>
          <w:color w:val="000000" w:themeColor="text1"/>
          <w:szCs w:val="18"/>
        </w:rPr>
        <w:t xml:space="preserve"> projected operation overcomes inherent issues with counter-balancing added weight of insulating glass in double-hung sashes,” explained </w:t>
      </w:r>
      <w:r w:rsidRPr="00FB162F">
        <w:rPr>
          <w:rFonts w:cs="Arial"/>
          <w:color w:val="000000" w:themeColor="text1"/>
          <w:szCs w:val="26"/>
        </w:rPr>
        <w:t>Kevin Robbins, director of the Apogee Renovation team.</w:t>
      </w:r>
      <w:r w:rsidR="000E2149" w:rsidRPr="00FB162F">
        <w:rPr>
          <w:color w:val="000000" w:themeColor="text1"/>
        </w:rPr>
        <w:t xml:space="preserve"> </w:t>
      </w:r>
      <w:r w:rsidR="002A4A63" w:rsidRPr="00FB162F">
        <w:rPr>
          <w:color w:val="000000" w:themeColor="text1"/>
        </w:rPr>
        <w:t xml:space="preserve">“Thoughtful, historic renovation achieves high standards for technical and operational performance, preserves </w:t>
      </w:r>
      <w:r w:rsidR="002A4A63" w:rsidRPr="00FB162F">
        <w:rPr>
          <w:rFonts w:cs="Times"/>
          <w:color w:val="000000" w:themeColor="text1"/>
        </w:rPr>
        <w:t>character-defining features</w:t>
      </w:r>
      <w:r w:rsidR="002A4A63" w:rsidRPr="00FB162F">
        <w:rPr>
          <w:color w:val="000000" w:themeColor="text1"/>
        </w:rPr>
        <w:t>, while successfully meeting the needs of the users now and long into the future.”</w:t>
      </w:r>
    </w:p>
    <w:p w14:paraId="28111F96" w14:textId="25A6BDF9" w:rsidR="000E2149" w:rsidRPr="00FB162F" w:rsidRDefault="000E2149" w:rsidP="00914A48">
      <w:pPr>
        <w:spacing w:after="0" w:line="240" w:lineRule="auto"/>
        <w:contextualSpacing/>
        <w:rPr>
          <w:color w:val="000000" w:themeColor="text1"/>
        </w:rPr>
      </w:pPr>
    </w:p>
    <w:p w14:paraId="08D2D0AD" w14:textId="77777777" w:rsidR="00354DD9" w:rsidRPr="00FB162F" w:rsidRDefault="00354DD9" w:rsidP="00914A48">
      <w:pPr>
        <w:spacing w:after="0" w:line="240" w:lineRule="auto"/>
        <w:contextualSpacing/>
        <w:rPr>
          <w:color w:val="000000" w:themeColor="text1"/>
        </w:rPr>
      </w:pPr>
    </w:p>
    <w:p w14:paraId="5D6C1254" w14:textId="398D9DFE" w:rsidR="00354DD9" w:rsidRPr="00FB162F" w:rsidRDefault="00914A48" w:rsidP="00914A48">
      <w:pPr>
        <w:spacing w:after="0" w:line="240" w:lineRule="auto"/>
        <w:contextualSpacing/>
        <w:rPr>
          <w:color w:val="000000" w:themeColor="text1"/>
        </w:rPr>
      </w:pPr>
      <w:r>
        <w:rPr>
          <w:rFonts w:ascii="Futura Medium" w:hAnsi="Futura Medium" w:cs="Futura Medium"/>
          <w:b/>
          <w:i/>
          <w:color w:val="000000" w:themeColor="text1"/>
        </w:rPr>
        <w:t>High-Performance Glass and Framing Earns the Grade</w:t>
      </w:r>
    </w:p>
    <w:p w14:paraId="48AB54D3" w14:textId="77777777" w:rsidR="00914A48" w:rsidRDefault="00914A48" w:rsidP="00914A48">
      <w:pPr>
        <w:spacing w:after="0" w:line="240" w:lineRule="auto"/>
        <w:contextualSpacing/>
        <w:rPr>
          <w:color w:val="000000" w:themeColor="text1"/>
        </w:rPr>
      </w:pPr>
    </w:p>
    <w:p w14:paraId="46380B1F" w14:textId="2EBAEAE1" w:rsidR="00FF770C" w:rsidRPr="00FF770C" w:rsidRDefault="000D19F0" w:rsidP="00FF770C">
      <w:pPr>
        <w:spacing w:after="0" w:line="240" w:lineRule="auto"/>
        <w:contextualSpacing/>
        <w:rPr>
          <w:rFonts w:cs="Arial"/>
          <w:color w:val="000000" w:themeColor="text1"/>
        </w:rPr>
      </w:pPr>
      <w:r w:rsidRPr="00FF770C">
        <w:rPr>
          <w:color w:val="000000" w:themeColor="text1"/>
        </w:rPr>
        <w:t>O</w:t>
      </w:r>
      <w:r w:rsidR="00B86C86" w:rsidRPr="00FF770C">
        <w:rPr>
          <w:color w:val="000000" w:themeColor="text1"/>
        </w:rPr>
        <w:t xml:space="preserve">ptional </w:t>
      </w:r>
      <w:r w:rsidR="00B86C86" w:rsidRPr="00FF770C">
        <w:rPr>
          <w:rFonts w:cs="TimesNewRomanPSMT"/>
          <w:color w:val="000000" w:themeColor="text1"/>
          <w:szCs w:val="22"/>
        </w:rPr>
        <w:t xml:space="preserve">accessories </w:t>
      </w:r>
      <w:r w:rsidRPr="00FF770C">
        <w:rPr>
          <w:rFonts w:cs="TimesNewRomanPSMT"/>
          <w:color w:val="000000" w:themeColor="text1"/>
          <w:szCs w:val="22"/>
        </w:rPr>
        <w:t xml:space="preserve">on Wausau’s windows </w:t>
      </w:r>
      <w:r w:rsidR="00B86C86" w:rsidRPr="00FF770C">
        <w:rPr>
          <w:rFonts w:cs="TimesNewRomanPSMT"/>
          <w:color w:val="000000" w:themeColor="text1"/>
          <w:szCs w:val="22"/>
        </w:rPr>
        <w:t>include muntin grids, panning and mullions to enhance the historic styling, a</w:t>
      </w:r>
      <w:r w:rsidR="00B86C86" w:rsidRPr="00FF770C">
        <w:rPr>
          <w:color w:val="000000" w:themeColor="text1"/>
          <w:szCs w:val="18"/>
        </w:rPr>
        <w:t>nd a range of glass options and thermal barriers optimize acoustic and thermal performance.</w:t>
      </w:r>
      <w:r w:rsidR="000E2149" w:rsidRPr="00FF770C">
        <w:rPr>
          <w:color w:val="000000" w:themeColor="text1"/>
          <w:szCs w:val="18"/>
        </w:rPr>
        <w:t xml:space="preserve"> For the D&amp;H building’s windows, </w:t>
      </w:r>
      <w:r w:rsidR="000E2149" w:rsidRPr="00FF770C">
        <w:rPr>
          <w:rFonts w:cs="Arial"/>
          <w:color w:val="000000" w:themeColor="text1"/>
        </w:rPr>
        <w:t>Wausau factory-glazed low-e, insulat</w:t>
      </w:r>
      <w:r w:rsidR="00E37EDA">
        <w:rPr>
          <w:rFonts w:cs="Arial"/>
          <w:color w:val="000000" w:themeColor="text1"/>
        </w:rPr>
        <w:t>ing</w:t>
      </w:r>
      <w:r w:rsidR="000E2149" w:rsidRPr="00FF770C">
        <w:rPr>
          <w:rFonts w:cs="Arial"/>
          <w:color w:val="000000" w:themeColor="text1"/>
        </w:rPr>
        <w:t>, laminated glass by Viracon.</w:t>
      </w:r>
    </w:p>
    <w:p w14:paraId="3DA53CCD" w14:textId="77777777" w:rsidR="00FF770C" w:rsidRPr="00FF770C" w:rsidRDefault="00FF770C" w:rsidP="00FF770C">
      <w:pPr>
        <w:spacing w:after="0" w:line="240" w:lineRule="auto"/>
        <w:contextualSpacing/>
        <w:rPr>
          <w:color w:val="000000" w:themeColor="text1"/>
          <w:szCs w:val="18"/>
        </w:rPr>
      </w:pPr>
    </w:p>
    <w:p w14:paraId="12126A51" w14:textId="2F68B70C" w:rsidR="00FF770C" w:rsidRPr="00FF770C" w:rsidRDefault="000E2149" w:rsidP="00914A48">
      <w:pPr>
        <w:spacing w:after="0" w:line="240" w:lineRule="auto"/>
        <w:contextualSpacing/>
        <w:rPr>
          <w:rFonts w:cs="Arial"/>
          <w:color w:val="000000" w:themeColor="text1"/>
        </w:rPr>
      </w:pPr>
      <w:r w:rsidRPr="00FF770C">
        <w:rPr>
          <w:color w:val="000000" w:themeColor="text1"/>
          <w:szCs w:val="18"/>
        </w:rPr>
        <w:t>Keeping the in</w:t>
      </w:r>
      <w:r w:rsidR="00F66199" w:rsidRPr="00FF770C">
        <w:rPr>
          <w:color w:val="000000" w:themeColor="text1"/>
          <w:szCs w:val="18"/>
        </w:rPr>
        <w:t xml:space="preserve">terior </w:t>
      </w:r>
      <w:r w:rsidRPr="00FF770C">
        <w:rPr>
          <w:color w:val="000000" w:themeColor="text1"/>
          <w:szCs w:val="18"/>
        </w:rPr>
        <w:t>temperature comfortable throughout the year, e</w:t>
      </w:r>
      <w:r w:rsidR="00B86C86" w:rsidRPr="00FF770C">
        <w:rPr>
          <w:color w:val="000000" w:themeColor="text1"/>
          <w:szCs w:val="18"/>
        </w:rPr>
        <w:t xml:space="preserve">xtended thermal barrier depth on the 4250i-XLT units </w:t>
      </w:r>
      <w:r w:rsidR="00E37EDA">
        <w:rPr>
          <w:color w:val="000000" w:themeColor="text1"/>
          <w:szCs w:val="18"/>
        </w:rPr>
        <w:t xml:space="preserve">allows the INvent family to </w:t>
      </w:r>
      <w:r w:rsidRPr="00FF770C">
        <w:rPr>
          <w:color w:val="000000" w:themeColor="text1"/>
          <w:szCs w:val="18"/>
        </w:rPr>
        <w:t>meet</w:t>
      </w:r>
      <w:r w:rsidR="00FF770C" w:rsidRPr="00FF770C">
        <w:rPr>
          <w:color w:val="000000" w:themeColor="text1"/>
          <w:szCs w:val="22"/>
        </w:rPr>
        <w:t xml:space="preserve"> NFRC U-Factors as low as 0.35 BTU/hr-sqft-ºF with Frame Condensation Resistance Factor (CRF</w:t>
      </w:r>
      <w:r w:rsidR="00FF770C" w:rsidRPr="00FF770C">
        <w:rPr>
          <w:color w:val="000000" w:themeColor="text1"/>
          <w:szCs w:val="22"/>
          <w:vertAlign w:val="subscript"/>
        </w:rPr>
        <w:t>f</w:t>
      </w:r>
      <w:r w:rsidR="00FF770C" w:rsidRPr="00FF770C">
        <w:rPr>
          <w:color w:val="000000" w:themeColor="text1"/>
          <w:szCs w:val="22"/>
        </w:rPr>
        <w:t>) of 61 and higher.</w:t>
      </w:r>
    </w:p>
    <w:p w14:paraId="0065D677" w14:textId="77777777" w:rsidR="00FF770C" w:rsidRPr="00FF770C" w:rsidRDefault="00FF770C" w:rsidP="00914A48">
      <w:pPr>
        <w:spacing w:after="0" w:line="240" w:lineRule="auto"/>
        <w:contextualSpacing/>
        <w:rPr>
          <w:rFonts w:cs="Arial"/>
          <w:color w:val="000000" w:themeColor="text1"/>
        </w:rPr>
      </w:pPr>
    </w:p>
    <w:p w14:paraId="01848ABD" w14:textId="20EEFC95" w:rsidR="00354DD9" w:rsidRPr="00FF770C" w:rsidRDefault="002D1E90" w:rsidP="00FF770C">
      <w:pPr>
        <w:spacing w:after="0" w:line="240" w:lineRule="auto"/>
        <w:ind w:right="180"/>
        <w:contextualSpacing/>
        <w:rPr>
          <w:rFonts w:cs="Arial"/>
          <w:color w:val="000000" w:themeColor="text1"/>
        </w:rPr>
      </w:pPr>
      <w:r w:rsidRPr="00B12197">
        <w:rPr>
          <w:szCs w:val="22"/>
        </w:rPr>
        <w:t>The</w:t>
      </w:r>
      <w:r>
        <w:rPr>
          <w:szCs w:val="22"/>
        </w:rPr>
        <w:t xml:space="preserve"> INvent windows</w:t>
      </w:r>
      <w:r w:rsidRPr="00B12197">
        <w:rPr>
          <w:szCs w:val="22"/>
        </w:rPr>
        <w:t xml:space="preserve"> offer acoustic performance with Sound Transmission Class (S</w:t>
      </w:r>
      <w:r>
        <w:rPr>
          <w:szCs w:val="22"/>
        </w:rPr>
        <w:t>T</w:t>
      </w:r>
      <w:r w:rsidRPr="00B12197">
        <w:rPr>
          <w:szCs w:val="22"/>
        </w:rPr>
        <w:t>C) ratings of 31 to 42, further improving the students’ interior comfort and concentration</w:t>
      </w:r>
      <w:r>
        <w:rPr>
          <w:szCs w:val="22"/>
        </w:rPr>
        <w:t xml:space="preserve">. </w:t>
      </w:r>
      <w:r>
        <w:rPr>
          <w:rFonts w:cs="Arial"/>
          <w:color w:val="000000" w:themeColor="text1"/>
        </w:rPr>
        <w:t xml:space="preserve">The </w:t>
      </w:r>
      <w:r w:rsidR="00EB1A25" w:rsidRPr="00FF770C">
        <w:rPr>
          <w:rFonts w:cs="Arial"/>
          <w:color w:val="000000" w:themeColor="text1"/>
        </w:rPr>
        <w:t xml:space="preserve">windows </w:t>
      </w:r>
      <w:r>
        <w:rPr>
          <w:rFonts w:cs="Arial"/>
          <w:color w:val="000000" w:themeColor="text1"/>
        </w:rPr>
        <w:t xml:space="preserve">also </w:t>
      </w:r>
      <w:r w:rsidR="00EB1A25" w:rsidRPr="00FF770C">
        <w:rPr>
          <w:color w:val="000000" w:themeColor="text1"/>
        </w:rPr>
        <w:t xml:space="preserve">are American </w:t>
      </w:r>
      <w:r w:rsidR="00EB1A25" w:rsidRPr="00FF770C">
        <w:rPr>
          <w:color w:val="000000" w:themeColor="text1"/>
        </w:rPr>
        <w:lastRenderedPageBreak/>
        <w:t>Architectural Manufacturers Association</w:t>
      </w:r>
      <w:r w:rsidR="004F1B48" w:rsidRPr="00FF770C">
        <w:rPr>
          <w:color w:val="000000" w:themeColor="text1"/>
        </w:rPr>
        <w:t xml:space="preserve"> (AAMA)</w:t>
      </w:r>
      <w:r>
        <w:rPr>
          <w:color w:val="000000" w:themeColor="text1"/>
        </w:rPr>
        <w:t xml:space="preserve"> </w:t>
      </w:r>
      <w:r w:rsidRPr="003D78ED">
        <w:rPr>
          <w:szCs w:val="22"/>
        </w:rPr>
        <w:t>AW-100 Architectural Performance Class rated</w:t>
      </w:r>
      <w:r w:rsidR="00EB1A25" w:rsidRPr="00FF770C">
        <w:rPr>
          <w:color w:val="000000" w:themeColor="text1"/>
        </w:rPr>
        <w:t xml:space="preserve">, meeting the industry’s most stringent testing for air infiltration, water </w:t>
      </w:r>
      <w:r w:rsidR="00B01E1E">
        <w:rPr>
          <w:color w:val="000000" w:themeColor="text1"/>
        </w:rPr>
        <w:t xml:space="preserve">penetration resistance </w:t>
      </w:r>
      <w:r w:rsidR="00EB1A25" w:rsidRPr="00FF770C">
        <w:rPr>
          <w:color w:val="000000" w:themeColor="text1"/>
        </w:rPr>
        <w:t>and structural integrity</w:t>
      </w:r>
      <w:r w:rsidR="00FF770C" w:rsidRPr="00FF770C">
        <w:rPr>
          <w:color w:val="000000" w:themeColor="text1"/>
        </w:rPr>
        <w:t>.</w:t>
      </w:r>
    </w:p>
    <w:p w14:paraId="119BAF35" w14:textId="77777777" w:rsidR="00354DD9" w:rsidRPr="00FB162F" w:rsidRDefault="00354DD9" w:rsidP="00914A48">
      <w:pPr>
        <w:spacing w:after="0" w:line="240" w:lineRule="auto"/>
        <w:contextualSpacing/>
        <w:rPr>
          <w:rFonts w:cs="Arial"/>
          <w:color w:val="000000" w:themeColor="text1"/>
        </w:rPr>
      </w:pPr>
    </w:p>
    <w:p w14:paraId="67BF3B3C" w14:textId="77777777" w:rsidR="00914A48" w:rsidRDefault="00914A48" w:rsidP="00914A48">
      <w:pPr>
        <w:spacing w:after="0" w:line="240" w:lineRule="auto"/>
        <w:contextualSpacing/>
        <w:rPr>
          <w:rFonts w:cs="Arial"/>
          <w:color w:val="000000" w:themeColor="text1"/>
        </w:rPr>
      </w:pPr>
    </w:p>
    <w:p w14:paraId="2E50692E" w14:textId="31AA3DD0" w:rsidR="00914A48" w:rsidRPr="00FB162F" w:rsidRDefault="00914A48" w:rsidP="00914A48">
      <w:pPr>
        <w:spacing w:after="0" w:line="240" w:lineRule="auto"/>
        <w:contextualSpacing/>
        <w:rPr>
          <w:rFonts w:ascii="Futura Medium" w:hAnsi="Futura Medium" w:cs="Futura Medium"/>
          <w:b/>
          <w:i/>
          <w:color w:val="000000" w:themeColor="text1"/>
        </w:rPr>
      </w:pPr>
      <w:r>
        <w:rPr>
          <w:rFonts w:ascii="Futura Medium" w:hAnsi="Futura Medium" w:cs="Futura Medium"/>
          <w:b/>
          <w:i/>
          <w:color w:val="000000" w:themeColor="text1"/>
        </w:rPr>
        <w:t>Finishing Touches for a Lasting Impression</w:t>
      </w:r>
    </w:p>
    <w:p w14:paraId="6E6C0973" w14:textId="77777777" w:rsidR="00914A48" w:rsidRDefault="00914A48" w:rsidP="00914A48">
      <w:pPr>
        <w:spacing w:after="0" w:line="240" w:lineRule="auto"/>
        <w:contextualSpacing/>
        <w:rPr>
          <w:rFonts w:cs="Arial"/>
          <w:color w:val="000000" w:themeColor="text1"/>
        </w:rPr>
      </w:pPr>
    </w:p>
    <w:p w14:paraId="5BA9163D" w14:textId="5F4326D1" w:rsidR="00354DD9" w:rsidRPr="00FB162F" w:rsidRDefault="00354DD9" w:rsidP="00914A48">
      <w:pPr>
        <w:spacing w:after="0" w:line="240" w:lineRule="auto"/>
        <w:contextualSpacing/>
        <w:rPr>
          <w:color w:val="000000" w:themeColor="text1"/>
        </w:rPr>
      </w:pPr>
      <w:r w:rsidRPr="00FB162F">
        <w:rPr>
          <w:rFonts w:cs="Arial"/>
          <w:color w:val="000000" w:themeColor="text1"/>
        </w:rPr>
        <w:t xml:space="preserve">Contributing to the building’s longevity and performance, Wausau’s aluminum framing members and mullion covers were finished by Linetec in “Albany Brown.” Linetec’s in-house blending laboratory created this custom color using a two-coat </w:t>
      </w:r>
      <w:r w:rsidRPr="00FB162F">
        <w:rPr>
          <w:color w:val="000000" w:themeColor="text1"/>
        </w:rPr>
        <w:t xml:space="preserve">70 percent </w:t>
      </w:r>
      <w:r w:rsidR="009032E5" w:rsidRPr="00FB162F">
        <w:rPr>
          <w:color w:val="000000" w:themeColor="text1"/>
        </w:rPr>
        <w:t>fluoropolymer</w:t>
      </w:r>
      <w:r w:rsidRPr="00FB162F">
        <w:rPr>
          <w:color w:val="000000" w:themeColor="text1"/>
        </w:rPr>
        <w:t xml:space="preserve"> paint for a consistent, long-lasting finish. </w:t>
      </w:r>
      <w:r w:rsidRPr="00FB162F">
        <w:rPr>
          <w:rFonts w:cs="Arial"/>
          <w:color w:val="000000" w:themeColor="text1"/>
        </w:rPr>
        <w:t xml:space="preserve">Some of the windows were specified in a dual finish with an Albany Brown exterior and a “Bone White” on the interior, a process </w:t>
      </w:r>
      <w:r w:rsidR="00B01E1E">
        <w:rPr>
          <w:rFonts w:cs="Arial"/>
          <w:color w:val="000000" w:themeColor="text1"/>
        </w:rPr>
        <w:t xml:space="preserve">now </w:t>
      </w:r>
      <w:r w:rsidRPr="00FB162F">
        <w:rPr>
          <w:rFonts w:cs="Arial"/>
          <w:color w:val="000000" w:themeColor="text1"/>
        </w:rPr>
        <w:t xml:space="preserve">made more economical due to the </w:t>
      </w:r>
      <w:r w:rsidR="00B01E1E">
        <w:rPr>
          <w:rFonts w:cs="Arial"/>
          <w:color w:val="000000" w:themeColor="text1"/>
        </w:rPr>
        <w:t xml:space="preserve">INvent family’s polyamide </w:t>
      </w:r>
      <w:r w:rsidRPr="00FB162F">
        <w:rPr>
          <w:rFonts w:cs="Arial"/>
          <w:color w:val="000000" w:themeColor="text1"/>
        </w:rPr>
        <w:t xml:space="preserve">thermal barrier system. </w:t>
      </w:r>
      <w:r w:rsidR="00B01E1E">
        <w:rPr>
          <w:rFonts w:cs="Arial"/>
          <w:color w:val="000000" w:themeColor="text1"/>
        </w:rPr>
        <w:t>High-performance</w:t>
      </w:r>
      <w:r w:rsidR="00B01E1E" w:rsidRPr="00FB162F">
        <w:rPr>
          <w:rFonts w:cs="Arial"/>
          <w:color w:val="000000" w:themeColor="text1"/>
        </w:rPr>
        <w:t xml:space="preserve"> </w:t>
      </w:r>
      <w:r w:rsidRPr="00FB162F">
        <w:rPr>
          <w:rFonts w:cs="Arial"/>
          <w:color w:val="000000" w:themeColor="text1"/>
        </w:rPr>
        <w:t xml:space="preserve">coatings are applied by Linetec in accordance with AAMA </w:t>
      </w:r>
      <w:r w:rsidR="00B01E1E">
        <w:rPr>
          <w:rFonts w:cs="Arial"/>
          <w:color w:val="000000" w:themeColor="text1"/>
        </w:rPr>
        <w:t xml:space="preserve">2605 </w:t>
      </w:r>
      <w:r w:rsidRPr="00FB162F">
        <w:rPr>
          <w:rFonts w:cs="Arial"/>
          <w:color w:val="000000" w:themeColor="text1"/>
        </w:rPr>
        <w:t>specifications.</w:t>
      </w:r>
    </w:p>
    <w:p w14:paraId="7A12AC71" w14:textId="77777777" w:rsidR="00D622DA" w:rsidRDefault="00D622DA" w:rsidP="00914A48">
      <w:pPr>
        <w:spacing w:after="0" w:line="240" w:lineRule="auto"/>
        <w:contextualSpacing/>
        <w:rPr>
          <w:rFonts w:cs="CourierNewPSMT"/>
          <w:color w:val="000000" w:themeColor="text1"/>
          <w:lang w:bidi="en-US"/>
        </w:rPr>
      </w:pPr>
    </w:p>
    <w:p w14:paraId="5F651C95" w14:textId="2E350980" w:rsidR="00354DD9" w:rsidRPr="00FB162F" w:rsidRDefault="004F1B48" w:rsidP="00914A48">
      <w:pPr>
        <w:spacing w:after="0" w:line="240" w:lineRule="auto"/>
        <w:contextualSpacing/>
        <w:rPr>
          <w:color w:val="000000" w:themeColor="text1"/>
        </w:rPr>
      </w:pPr>
      <w:r w:rsidRPr="00FB162F">
        <w:rPr>
          <w:rFonts w:cs="CourierNewPSMT"/>
          <w:color w:val="000000" w:themeColor="text1"/>
          <w:lang w:bidi="en-US"/>
        </w:rPr>
        <w:t>“Beyond their historically inspired appearance, Wausau’s windows on the D&amp;H Administrative</w:t>
      </w:r>
      <w:r w:rsidR="00B01E1E">
        <w:rPr>
          <w:rFonts w:cs="CourierNewPSMT"/>
          <w:color w:val="000000" w:themeColor="text1"/>
          <w:lang w:bidi="en-US"/>
        </w:rPr>
        <w:t xml:space="preserve"> Building</w:t>
      </w:r>
      <w:r w:rsidRPr="00FB162F">
        <w:rPr>
          <w:rFonts w:cs="CourierNewPSMT"/>
          <w:color w:val="000000" w:themeColor="text1"/>
          <w:lang w:bidi="en-US"/>
        </w:rPr>
        <w:t xml:space="preserve"> </w:t>
      </w:r>
      <w:r w:rsidR="00B01E1E">
        <w:rPr>
          <w:rFonts w:cs="CourierNewPSMT"/>
          <w:color w:val="000000" w:themeColor="text1"/>
          <w:lang w:bidi="en-US"/>
        </w:rPr>
        <w:t xml:space="preserve"> meet</w:t>
      </w:r>
      <w:r w:rsidRPr="00FB162F">
        <w:rPr>
          <w:rFonts w:cs="CourierNewPSMT"/>
          <w:color w:val="000000" w:themeColor="text1"/>
          <w:lang w:bidi="en-US"/>
        </w:rPr>
        <w:t xml:space="preserve"> the high-use, low-maintenance demands of educational facilities, as well as the demanding climate conditions of upstate New York,” observed Robbins.</w:t>
      </w:r>
    </w:p>
    <w:p w14:paraId="22E0EC4C" w14:textId="77777777" w:rsidR="00354DD9" w:rsidRPr="00FB162F" w:rsidRDefault="00354DD9" w:rsidP="00914A48">
      <w:pPr>
        <w:spacing w:after="0" w:line="240" w:lineRule="auto"/>
        <w:contextualSpacing/>
        <w:rPr>
          <w:color w:val="000000" w:themeColor="text1"/>
        </w:rPr>
      </w:pPr>
    </w:p>
    <w:p w14:paraId="1DF6AB59" w14:textId="43BA4AB7" w:rsidR="00354DD9" w:rsidRPr="00FB162F" w:rsidRDefault="001D32BF" w:rsidP="00914A48">
      <w:pPr>
        <w:spacing w:after="0" w:line="240" w:lineRule="auto"/>
        <w:contextualSpacing/>
        <w:rPr>
          <w:color w:val="000000" w:themeColor="text1"/>
        </w:rPr>
      </w:pPr>
      <w:r w:rsidRPr="00FB162F">
        <w:rPr>
          <w:color w:val="000000" w:themeColor="text1"/>
        </w:rPr>
        <w:t>T</w:t>
      </w:r>
      <w:r w:rsidR="0095462F" w:rsidRPr="00FB162F">
        <w:rPr>
          <w:color w:val="000000" w:themeColor="text1"/>
        </w:rPr>
        <w:t>he Apogee Renovation</w:t>
      </w:r>
      <w:r w:rsidR="00FD4E17" w:rsidRPr="00FB162F">
        <w:rPr>
          <w:color w:val="000000" w:themeColor="text1"/>
        </w:rPr>
        <w:t xml:space="preserve"> team </w:t>
      </w:r>
      <w:r w:rsidR="0095462F" w:rsidRPr="00FB162F">
        <w:rPr>
          <w:color w:val="000000" w:themeColor="text1"/>
        </w:rPr>
        <w:t xml:space="preserve">and Wausau </w:t>
      </w:r>
      <w:r w:rsidR="00FD4E17" w:rsidRPr="00FB162F">
        <w:rPr>
          <w:color w:val="000000" w:themeColor="text1"/>
        </w:rPr>
        <w:t xml:space="preserve">work with architects, building teams and state historic preservation offices to assist in obtaining necessary aesthetic and performance approvals, gaining tax credits </w:t>
      </w:r>
      <w:r w:rsidR="00B01E1E">
        <w:rPr>
          <w:color w:val="000000" w:themeColor="text1"/>
        </w:rPr>
        <w:t>on privately</w:t>
      </w:r>
      <w:r w:rsidR="00FF144E">
        <w:rPr>
          <w:color w:val="000000" w:themeColor="text1"/>
        </w:rPr>
        <w:t xml:space="preserve"> </w:t>
      </w:r>
      <w:r w:rsidR="00B01E1E">
        <w:rPr>
          <w:color w:val="000000" w:themeColor="text1"/>
        </w:rPr>
        <w:t>funded</w:t>
      </w:r>
      <w:r w:rsidR="00FF144E">
        <w:rPr>
          <w:color w:val="000000" w:themeColor="text1"/>
        </w:rPr>
        <w:t>,</w:t>
      </w:r>
      <w:r w:rsidR="00B01E1E">
        <w:rPr>
          <w:color w:val="000000" w:themeColor="text1"/>
        </w:rPr>
        <w:t xml:space="preserve"> historical renovation projects </w:t>
      </w:r>
      <w:r w:rsidR="00FD4E17" w:rsidRPr="00FB162F">
        <w:rPr>
          <w:color w:val="000000" w:themeColor="text1"/>
        </w:rPr>
        <w:t>and achieving long-term objectives.</w:t>
      </w:r>
    </w:p>
    <w:p w14:paraId="0D3ACCD3" w14:textId="77777777" w:rsidR="00354DD9" w:rsidRPr="00FB162F" w:rsidRDefault="00354DD9" w:rsidP="00914A48">
      <w:pPr>
        <w:spacing w:after="0" w:line="240" w:lineRule="auto"/>
        <w:contextualSpacing/>
        <w:rPr>
          <w:rFonts w:cs="Arial"/>
          <w:color w:val="000000" w:themeColor="text1"/>
        </w:rPr>
      </w:pPr>
    </w:p>
    <w:p w14:paraId="36F5CFAA" w14:textId="5CD138CD" w:rsidR="00354DD9" w:rsidRPr="00FB162F" w:rsidRDefault="00354DD9" w:rsidP="00914A48">
      <w:pPr>
        <w:spacing w:after="0" w:line="240" w:lineRule="auto"/>
        <w:contextualSpacing/>
        <w:rPr>
          <w:color w:val="000000" w:themeColor="text1"/>
        </w:rPr>
      </w:pPr>
      <w:r w:rsidRPr="00FB162F">
        <w:rPr>
          <w:rFonts w:cs="Arial"/>
          <w:color w:val="000000" w:themeColor="text1"/>
        </w:rPr>
        <w:t>“The building looks great – inside and out. The windows provide a more comfortable, quieter work environment,” add</w:t>
      </w:r>
      <w:r w:rsidR="00FB162F" w:rsidRPr="00FB162F">
        <w:rPr>
          <w:rFonts w:cs="Arial"/>
          <w:color w:val="000000" w:themeColor="text1"/>
        </w:rPr>
        <w:t>ed Robbins</w:t>
      </w:r>
      <w:r w:rsidRPr="00FB162F">
        <w:rPr>
          <w:rFonts w:cs="Arial"/>
          <w:color w:val="000000" w:themeColor="text1"/>
        </w:rPr>
        <w:t xml:space="preserve">. “It’s a pleasure to see this </w:t>
      </w:r>
      <w:r w:rsidR="00B01E1E">
        <w:rPr>
          <w:rFonts w:cs="Arial"/>
          <w:color w:val="000000" w:themeColor="text1"/>
        </w:rPr>
        <w:t xml:space="preserve">architecturally </w:t>
      </w:r>
      <w:r w:rsidRPr="00FB162F">
        <w:rPr>
          <w:rFonts w:cs="Arial"/>
          <w:color w:val="000000" w:themeColor="text1"/>
        </w:rPr>
        <w:t>significant  historical building continue to serve the community.”</w:t>
      </w:r>
    </w:p>
    <w:p w14:paraId="1574A54A" w14:textId="77777777" w:rsidR="00354DD9" w:rsidRPr="00FB162F" w:rsidRDefault="00354DD9" w:rsidP="00914A48">
      <w:pPr>
        <w:spacing w:after="0" w:line="240" w:lineRule="auto"/>
        <w:contextualSpacing/>
        <w:rPr>
          <w:color w:val="000000" w:themeColor="text1"/>
        </w:rPr>
      </w:pPr>
    </w:p>
    <w:p w14:paraId="4092229F" w14:textId="77777777" w:rsidR="00447C65" w:rsidRPr="00FB162F" w:rsidRDefault="00447C65" w:rsidP="00914A48">
      <w:pPr>
        <w:spacing w:after="0" w:line="240" w:lineRule="auto"/>
        <w:contextualSpacing/>
        <w:rPr>
          <w:rFonts w:ascii="Futura Medium" w:hAnsi="Futura Medium" w:cs="Futura Medium"/>
          <w:b/>
          <w:i/>
          <w:color w:val="000000" w:themeColor="text1"/>
        </w:rPr>
      </w:pPr>
    </w:p>
    <w:p w14:paraId="0DF5697B" w14:textId="681C81B3" w:rsidR="00447C65" w:rsidRPr="00FB162F" w:rsidRDefault="00447C65" w:rsidP="00914A48">
      <w:pPr>
        <w:spacing w:after="0" w:line="240" w:lineRule="auto"/>
        <w:contextualSpacing/>
        <w:jc w:val="center"/>
        <w:rPr>
          <w:b/>
          <w:i/>
          <w:color w:val="000000" w:themeColor="text1"/>
        </w:rPr>
      </w:pPr>
      <w:r w:rsidRPr="00FB162F">
        <w:rPr>
          <w:b/>
          <w:i/>
          <w:color w:val="000000" w:themeColor="text1"/>
        </w:rPr>
        <w:t>**</w:t>
      </w:r>
    </w:p>
    <w:p w14:paraId="28A8B135" w14:textId="77777777" w:rsidR="00447C65" w:rsidRPr="00FB162F" w:rsidRDefault="00447C65" w:rsidP="00914A48">
      <w:pPr>
        <w:spacing w:after="0" w:line="240" w:lineRule="auto"/>
        <w:contextualSpacing/>
        <w:jc w:val="center"/>
        <w:rPr>
          <w:rFonts w:ascii="Futura Medium" w:hAnsi="Futura Medium" w:cs="Futura Medium"/>
          <w:b/>
          <w:i/>
          <w:color w:val="000000" w:themeColor="text1"/>
        </w:rPr>
      </w:pPr>
    </w:p>
    <w:p w14:paraId="4B385ED3" w14:textId="4A142C8A" w:rsidR="00354DD9" w:rsidRPr="00FB162F" w:rsidRDefault="001E1BA6" w:rsidP="00914A48">
      <w:pPr>
        <w:spacing w:after="0" w:line="240" w:lineRule="auto"/>
        <w:contextualSpacing/>
        <w:rPr>
          <w:rFonts w:ascii="Futura Medium" w:hAnsi="Futura Medium" w:cs="Futura Medium"/>
          <w:b/>
          <w:i/>
          <w:color w:val="000000" w:themeColor="text1"/>
        </w:rPr>
      </w:pPr>
      <w:r>
        <w:rPr>
          <w:rFonts w:ascii="Futura Medium" w:hAnsi="Futura Medium" w:cs="Futura Medium"/>
          <w:b/>
          <w:i/>
          <w:color w:val="000000" w:themeColor="text1"/>
        </w:rPr>
        <w:t xml:space="preserve">University at Albany, </w:t>
      </w:r>
      <w:r w:rsidR="00354DD9" w:rsidRPr="00FB162F">
        <w:rPr>
          <w:rFonts w:ascii="Futura Medium" w:hAnsi="Futura Medium" w:cs="Futura Medium" w:hint="cs"/>
          <w:b/>
          <w:i/>
          <w:color w:val="000000" w:themeColor="text1"/>
        </w:rPr>
        <w:t>State University of New York, D&amp;H Administrative Building, State University Plaza, 353 Broadway, Albany, N.Y.  12246</w:t>
      </w:r>
    </w:p>
    <w:p w14:paraId="4C9AA576" w14:textId="666A6C90" w:rsidR="00354DD9" w:rsidRPr="00052853" w:rsidRDefault="00354DD9" w:rsidP="00914A48">
      <w:pPr>
        <w:numPr>
          <w:ilvl w:val="0"/>
          <w:numId w:val="14"/>
        </w:numPr>
        <w:spacing w:after="0" w:line="240" w:lineRule="auto"/>
        <w:ind w:left="270" w:hanging="270"/>
        <w:contextualSpacing/>
        <w:rPr>
          <w:rFonts w:cs="Arial"/>
        </w:rPr>
      </w:pPr>
      <w:r w:rsidRPr="00052853">
        <w:rPr>
          <w:rFonts w:cs="Arial"/>
        </w:rPr>
        <w:t xml:space="preserve">Owner: </w:t>
      </w:r>
      <w:r w:rsidR="001E1BA6">
        <w:rPr>
          <w:rFonts w:cs="Arial"/>
        </w:rPr>
        <w:t>University at Albany,</w:t>
      </w:r>
      <w:r>
        <w:rPr>
          <w:rFonts w:cs="Arial"/>
        </w:rPr>
        <w:t xml:space="preserve"> State University of New York; Albany, N</w:t>
      </w:r>
      <w:r w:rsidR="001E1BA6">
        <w:rPr>
          <w:rFonts w:cs="Arial"/>
        </w:rPr>
        <w:t>ew York</w:t>
      </w:r>
      <w:r>
        <w:rPr>
          <w:rFonts w:cs="Arial"/>
        </w:rPr>
        <w:t xml:space="preserve">; </w:t>
      </w:r>
      <w:r w:rsidR="001E1BA6" w:rsidRPr="001E1BA6">
        <w:rPr>
          <w:rFonts w:cs="Arial"/>
        </w:rPr>
        <w:t>https://www.albany.edu</w:t>
      </w:r>
    </w:p>
    <w:p w14:paraId="63CA7B0E" w14:textId="77777777" w:rsidR="00354DD9" w:rsidRPr="00052853" w:rsidRDefault="00354DD9" w:rsidP="00914A48">
      <w:pPr>
        <w:numPr>
          <w:ilvl w:val="0"/>
          <w:numId w:val="14"/>
        </w:numPr>
        <w:spacing w:after="0" w:line="240" w:lineRule="auto"/>
        <w:ind w:left="270" w:hanging="270"/>
        <w:contextualSpacing/>
        <w:rPr>
          <w:rFonts w:cs="Arial"/>
        </w:rPr>
      </w:pPr>
      <w:r w:rsidRPr="00052853">
        <w:rPr>
          <w:rFonts w:cs="Arial"/>
        </w:rPr>
        <w:t>Architect – original, new construction: Marcus T. Reynolds</w:t>
      </w:r>
    </w:p>
    <w:p w14:paraId="69DFA418" w14:textId="73CD5AA0" w:rsidR="00354DD9" w:rsidRPr="00052853" w:rsidRDefault="00354DD9" w:rsidP="00914A48">
      <w:pPr>
        <w:numPr>
          <w:ilvl w:val="0"/>
          <w:numId w:val="14"/>
        </w:numPr>
        <w:spacing w:after="0" w:line="240" w:lineRule="auto"/>
        <w:ind w:left="270" w:hanging="270"/>
        <w:contextualSpacing/>
        <w:rPr>
          <w:rFonts w:cs="Arial"/>
        </w:rPr>
      </w:pPr>
      <w:r w:rsidRPr="00052853">
        <w:rPr>
          <w:rFonts w:cs="Arial"/>
        </w:rPr>
        <w:t>Architect – façade renovation: architecture+; Troy, N</w:t>
      </w:r>
      <w:r w:rsidR="001E1BA6">
        <w:rPr>
          <w:rFonts w:cs="Arial"/>
        </w:rPr>
        <w:t xml:space="preserve">ew York; </w:t>
      </w:r>
      <w:r w:rsidR="001E1BA6" w:rsidRPr="001E1BA6">
        <w:rPr>
          <w:rFonts w:cs="Arial"/>
        </w:rPr>
        <w:t>http://www.aplususa.com</w:t>
      </w:r>
    </w:p>
    <w:p w14:paraId="43A72F05" w14:textId="6563B6EA" w:rsidR="00354DD9" w:rsidRPr="00052853" w:rsidRDefault="009032E5" w:rsidP="00914A48">
      <w:pPr>
        <w:numPr>
          <w:ilvl w:val="0"/>
          <w:numId w:val="14"/>
        </w:numPr>
        <w:spacing w:after="0" w:line="240" w:lineRule="auto"/>
        <w:ind w:left="270" w:hanging="270"/>
        <w:contextualSpacing/>
        <w:rPr>
          <w:rFonts w:cs="Arial"/>
        </w:rPr>
      </w:pPr>
      <w:r w:rsidRPr="00052853">
        <w:rPr>
          <w:rFonts w:cs="Arial"/>
        </w:rPr>
        <w:t>Glazing contractor – Phase 1: Ajay Glass Company; Canadaigua, N</w:t>
      </w:r>
      <w:r>
        <w:rPr>
          <w:rFonts w:cs="Arial"/>
        </w:rPr>
        <w:t xml:space="preserve">ew </w:t>
      </w:r>
      <w:r w:rsidRPr="00052853">
        <w:rPr>
          <w:rFonts w:cs="Arial"/>
        </w:rPr>
        <w:t>Y</w:t>
      </w:r>
      <w:r>
        <w:rPr>
          <w:rFonts w:cs="Arial"/>
        </w:rPr>
        <w:t>ork</w:t>
      </w:r>
      <w:r w:rsidRPr="00052853">
        <w:rPr>
          <w:rFonts w:cs="Arial"/>
        </w:rPr>
        <w:t>;</w:t>
      </w:r>
      <w:r w:rsidRPr="00052853">
        <w:t xml:space="preserve"> </w:t>
      </w:r>
      <w:r w:rsidR="001E1BA6" w:rsidRPr="001E1BA6">
        <w:rPr>
          <w:rFonts w:cs="Arial"/>
        </w:rPr>
        <w:t>http://ajayglass.com</w:t>
      </w:r>
    </w:p>
    <w:p w14:paraId="7FC3A7C8" w14:textId="16ECEE19" w:rsidR="00354DD9" w:rsidRPr="00052853" w:rsidRDefault="00354DD9" w:rsidP="00914A48">
      <w:pPr>
        <w:numPr>
          <w:ilvl w:val="0"/>
          <w:numId w:val="14"/>
        </w:numPr>
        <w:spacing w:after="0" w:line="240" w:lineRule="auto"/>
        <w:ind w:left="270" w:hanging="270"/>
        <w:contextualSpacing/>
        <w:rPr>
          <w:rFonts w:cs="Arial"/>
        </w:rPr>
      </w:pPr>
      <w:r w:rsidRPr="00052853">
        <w:rPr>
          <w:rFonts w:cs="Arial"/>
        </w:rPr>
        <w:t xml:space="preserve">Glazing contractor – Phase 2: TGR Enterprises; </w:t>
      </w:r>
      <w:r w:rsidRPr="00052853">
        <w:rPr>
          <w:rStyle w:val="st"/>
        </w:rPr>
        <w:t>Buffalo, N</w:t>
      </w:r>
      <w:r w:rsidR="001E1BA6">
        <w:rPr>
          <w:rStyle w:val="st"/>
        </w:rPr>
        <w:t>ew York</w:t>
      </w:r>
    </w:p>
    <w:p w14:paraId="4E6D67CB" w14:textId="00D1110F" w:rsidR="001E1BA6" w:rsidRDefault="00354DD9" w:rsidP="00914A48">
      <w:pPr>
        <w:numPr>
          <w:ilvl w:val="0"/>
          <w:numId w:val="13"/>
        </w:numPr>
        <w:spacing w:after="0" w:line="240" w:lineRule="auto"/>
        <w:ind w:left="270" w:hanging="270"/>
        <w:contextualSpacing/>
      </w:pPr>
      <w:r w:rsidRPr="00052853">
        <w:t>Glazing systems – manufacturer: Wausau Window and Wall Systems</w:t>
      </w:r>
      <w:r w:rsidR="001E1BA6">
        <w:t>, an Apogee Enterprises company</w:t>
      </w:r>
      <w:r w:rsidRPr="00052853">
        <w:t>; Wausau, Wis</w:t>
      </w:r>
      <w:r w:rsidR="001E1BA6">
        <w:t xml:space="preserve">consin; </w:t>
      </w:r>
      <w:r w:rsidR="001E1BA6" w:rsidRPr="001E1BA6">
        <w:t>http://www.wausauwindow.com</w:t>
      </w:r>
    </w:p>
    <w:p w14:paraId="11FB96C3" w14:textId="4115EA7A" w:rsidR="00354DD9" w:rsidRPr="00052853" w:rsidRDefault="00354DD9" w:rsidP="00914A48">
      <w:pPr>
        <w:widowControl w:val="0"/>
        <w:numPr>
          <w:ilvl w:val="0"/>
          <w:numId w:val="13"/>
        </w:numPr>
        <w:autoSpaceDE w:val="0"/>
        <w:autoSpaceDN w:val="0"/>
        <w:adjustRightInd w:val="0"/>
        <w:spacing w:after="0" w:line="240" w:lineRule="auto"/>
        <w:ind w:left="270" w:hanging="270"/>
        <w:contextualSpacing/>
      </w:pPr>
      <w:r w:rsidRPr="00052853">
        <w:t>Glazing systems – glass fabricator: Viracon, Inc.,</w:t>
      </w:r>
      <w:r w:rsidR="001E1BA6">
        <w:t xml:space="preserve"> an Apogee Enterprises company;</w:t>
      </w:r>
      <w:r w:rsidRPr="00052853">
        <w:t xml:space="preserve"> Owatonna, Minn</w:t>
      </w:r>
      <w:r w:rsidR="001E1BA6">
        <w:t xml:space="preserve">esota; </w:t>
      </w:r>
      <w:r w:rsidR="001E1BA6" w:rsidRPr="001E1BA6">
        <w:t>http://www.viracon.com</w:t>
      </w:r>
    </w:p>
    <w:p w14:paraId="7BD37FD1" w14:textId="6B1220D6" w:rsidR="00354DD9" w:rsidRDefault="00354DD9" w:rsidP="00914A48">
      <w:pPr>
        <w:numPr>
          <w:ilvl w:val="0"/>
          <w:numId w:val="13"/>
        </w:numPr>
        <w:spacing w:after="0" w:line="240" w:lineRule="auto"/>
        <w:ind w:left="270" w:hanging="270"/>
        <w:contextualSpacing/>
      </w:pPr>
      <w:r w:rsidRPr="00052853">
        <w:t>Glazing systems – finisher: Linetec</w:t>
      </w:r>
      <w:r w:rsidR="001E1BA6">
        <w:t>, an Apogee Enterprises company</w:t>
      </w:r>
      <w:r w:rsidRPr="00052853">
        <w:t>, Wausau, Wis</w:t>
      </w:r>
      <w:r w:rsidR="001E1BA6">
        <w:t xml:space="preserve">consin; </w:t>
      </w:r>
      <w:r w:rsidR="001E1BA6" w:rsidRPr="001E1BA6">
        <w:t>https://linetec.com</w:t>
      </w:r>
    </w:p>
    <w:p w14:paraId="3182AE80" w14:textId="76EF299B" w:rsidR="00914A48" w:rsidRDefault="00914A48" w:rsidP="00914A48">
      <w:pPr>
        <w:numPr>
          <w:ilvl w:val="0"/>
          <w:numId w:val="13"/>
        </w:numPr>
        <w:spacing w:after="0" w:line="240" w:lineRule="auto"/>
        <w:ind w:left="270" w:hanging="270"/>
        <w:contextualSpacing/>
      </w:pPr>
      <w:r>
        <w:t>Photos: courtesy of Wausau Window and Wall Systems</w:t>
      </w:r>
    </w:p>
    <w:p w14:paraId="1D117A9B" w14:textId="7724DECA" w:rsidR="009032E5" w:rsidRPr="00052853" w:rsidRDefault="009032E5" w:rsidP="00914A48">
      <w:pPr>
        <w:numPr>
          <w:ilvl w:val="0"/>
          <w:numId w:val="13"/>
        </w:numPr>
        <w:spacing w:after="0" w:line="240" w:lineRule="auto"/>
        <w:ind w:left="270" w:hanging="270"/>
        <w:contextualSpacing/>
      </w:pPr>
      <w:r>
        <w:t xml:space="preserve">Interactive image: </w:t>
      </w:r>
      <w:r w:rsidRPr="009032E5">
        <w:t>https://www.albany.edu/museum/wwwmuseum/statestreet/dhpoint.html</w:t>
      </w:r>
    </w:p>
    <w:p w14:paraId="17A13823" w14:textId="77777777" w:rsidR="00B408A1" w:rsidRPr="0021412C" w:rsidRDefault="00B408A1" w:rsidP="00914A48">
      <w:pPr>
        <w:spacing w:after="0" w:line="240" w:lineRule="auto"/>
        <w:contextualSpacing/>
        <w:rPr>
          <w:color w:val="000000" w:themeColor="text1"/>
        </w:rPr>
      </w:pPr>
    </w:p>
    <w:p w14:paraId="579B6BCD" w14:textId="77777777" w:rsidR="00106138" w:rsidRPr="0021412C" w:rsidRDefault="00106138" w:rsidP="00914A48">
      <w:pPr>
        <w:spacing w:after="0" w:line="240" w:lineRule="auto"/>
        <w:contextualSpacing/>
        <w:rPr>
          <w:color w:val="000000" w:themeColor="text1"/>
        </w:rPr>
      </w:pPr>
    </w:p>
    <w:p w14:paraId="4E123DBE" w14:textId="715B5D0B" w:rsidR="0072026F" w:rsidRPr="00106138" w:rsidRDefault="007F339E" w:rsidP="00914A48">
      <w:pPr>
        <w:spacing w:after="0" w:line="240" w:lineRule="auto"/>
        <w:contextualSpacing/>
      </w:pPr>
      <w:r w:rsidRPr="001546FC">
        <w:rPr>
          <w:color w:val="000000" w:themeColor="text1"/>
        </w:rPr>
        <w:lastRenderedPageBreak/>
        <w:t>T</w:t>
      </w:r>
      <w:r w:rsidR="0072026F" w:rsidRPr="001546FC">
        <w:rPr>
          <w:color w:val="000000" w:themeColor="text1"/>
        </w:rPr>
        <w:t xml:space="preserve">o learn more about Apogee’s Building Retrofit Strategy Team’s </w:t>
      </w:r>
      <w:r w:rsidR="008C3883" w:rsidRPr="001546FC">
        <w:rPr>
          <w:color w:val="000000" w:themeColor="text1"/>
        </w:rPr>
        <w:t xml:space="preserve">personnel, </w:t>
      </w:r>
      <w:r w:rsidR="0072026F" w:rsidRPr="001546FC">
        <w:rPr>
          <w:color w:val="000000" w:themeColor="text1"/>
        </w:rPr>
        <w:t xml:space="preserve">services and success </w:t>
      </w:r>
      <w:r w:rsidR="0072026F" w:rsidRPr="001546FC">
        <w:t xml:space="preserve">stories, please visit </w:t>
      </w:r>
      <w:hyperlink r:id="rId7" w:history="1">
        <w:r w:rsidR="0072026F" w:rsidRPr="001546FC">
          <w:rPr>
            <w:rStyle w:val="Hyperlink"/>
          </w:rPr>
          <w:t>http://apog.com/renovation.html</w:t>
        </w:r>
      </w:hyperlink>
      <w:r w:rsidR="0072026F" w:rsidRPr="001546FC">
        <w:t xml:space="preserve"> or contact Kevin Robbins at </w:t>
      </w:r>
      <w:hyperlink r:id="rId8" w:history="1">
        <w:r w:rsidR="0072026F" w:rsidRPr="001546FC">
          <w:rPr>
            <w:rStyle w:val="Hyperlink"/>
          </w:rPr>
          <w:t>krobbins@apog.com</w:t>
        </w:r>
      </w:hyperlink>
      <w:r w:rsidR="0072026F" w:rsidRPr="001546FC">
        <w:t>, 715-409-0821.</w:t>
      </w:r>
    </w:p>
    <w:p w14:paraId="2CD77D36" w14:textId="77777777" w:rsidR="0072026F" w:rsidRPr="00106138" w:rsidRDefault="0072026F" w:rsidP="00914A48">
      <w:pPr>
        <w:spacing w:after="0" w:line="240" w:lineRule="auto"/>
        <w:contextualSpacing/>
      </w:pPr>
    </w:p>
    <w:p w14:paraId="32E5A6B8" w14:textId="5685FD03" w:rsidR="00666270" w:rsidRPr="0072026F" w:rsidRDefault="00666270" w:rsidP="00914A48">
      <w:pPr>
        <w:spacing w:after="0" w:line="240" w:lineRule="auto"/>
        <w:contextualSpacing/>
        <w:rPr>
          <w:i/>
          <w:sz w:val="18"/>
          <w:szCs w:val="18"/>
        </w:rPr>
      </w:pPr>
      <w:r w:rsidRPr="0072026F">
        <w:rPr>
          <w:i/>
          <w:sz w:val="18"/>
          <w:szCs w:val="18"/>
        </w:rPr>
        <w:t>Apogee Enterprises, Inc.’s Building Retrofit Strate</w:t>
      </w:r>
      <w:r>
        <w:rPr>
          <w:i/>
          <w:sz w:val="18"/>
          <w:szCs w:val="18"/>
        </w:rPr>
        <w:t>gy Team, in conjunction with</w:t>
      </w:r>
      <w:r w:rsidRPr="0072026F">
        <w:rPr>
          <w:i/>
          <w:sz w:val="18"/>
          <w:szCs w:val="18"/>
        </w:rPr>
        <w:t xml:space="preserve"> its businesses, assists building owners and property managers </w:t>
      </w:r>
      <w:r w:rsidR="00340794">
        <w:rPr>
          <w:i/>
          <w:sz w:val="18"/>
          <w:szCs w:val="18"/>
        </w:rPr>
        <w:t xml:space="preserve">to </w:t>
      </w:r>
      <w:r w:rsidRPr="0072026F">
        <w:rPr>
          <w:i/>
          <w:sz w:val="18"/>
          <w:szCs w:val="18"/>
        </w:rPr>
        <w:t>evaluate the benefits of window renovation and upgrades, such as improving the appearance of the building, saving energy, downsizing HVAC loading, reducing maintenance, lowering vacancy rates, increasing rental rates and enhancing the value of the building.</w:t>
      </w:r>
    </w:p>
    <w:p w14:paraId="2F39AEB2" w14:textId="77777777" w:rsidR="00666270" w:rsidRPr="0072026F" w:rsidRDefault="00666270" w:rsidP="00914A48">
      <w:pPr>
        <w:spacing w:after="0" w:line="240" w:lineRule="auto"/>
        <w:contextualSpacing/>
        <w:rPr>
          <w:i/>
          <w:sz w:val="18"/>
          <w:szCs w:val="18"/>
        </w:rPr>
      </w:pPr>
    </w:p>
    <w:p w14:paraId="52EFB1F0" w14:textId="77777777" w:rsidR="00666270" w:rsidRPr="0072026F" w:rsidRDefault="00666270" w:rsidP="00914A48">
      <w:pPr>
        <w:spacing w:after="0" w:line="240" w:lineRule="auto"/>
        <w:contextualSpacing/>
        <w:rPr>
          <w:i/>
          <w:sz w:val="18"/>
          <w:szCs w:val="18"/>
        </w:rPr>
      </w:pPr>
      <w:r w:rsidRPr="0072026F">
        <w:rPr>
          <w:i/>
          <w:sz w:val="18"/>
          <w:szCs w:val="18"/>
        </w:rPr>
        <w:t>Apogee’s business units supporting these building retrofit strategies include Alumicor; EFCO Corporation; Harmon, Inc.; Linetec; Sotawall; Tubelite Inc.; Viracon, Inc.; and Wausau Window and Wall Systems.</w:t>
      </w:r>
    </w:p>
    <w:p w14:paraId="37AE2191" w14:textId="5EB17893" w:rsidR="005520F4" w:rsidRPr="0072026F" w:rsidRDefault="00666270" w:rsidP="00914A48">
      <w:pPr>
        <w:spacing w:after="0" w:line="240" w:lineRule="auto"/>
        <w:contextualSpacing/>
        <w:jc w:val="center"/>
        <w:rPr>
          <w:i/>
          <w:sz w:val="18"/>
          <w:szCs w:val="18"/>
        </w:rPr>
      </w:pPr>
      <w:r w:rsidRPr="0072026F">
        <w:rPr>
          <w:i/>
          <w:sz w:val="18"/>
          <w:szCs w:val="18"/>
        </w:rPr>
        <w:t>###</w:t>
      </w:r>
    </w:p>
    <w:sectPr w:rsidR="005520F4" w:rsidRPr="0072026F" w:rsidSect="006748C8">
      <w:headerReference w:type="default" r:id="rId9"/>
      <w:footerReference w:type="default" r:id="rId10"/>
      <w:pgSz w:w="12240" w:h="15840"/>
      <w:pgMar w:top="288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9CE3A" w14:textId="77777777" w:rsidR="00993637" w:rsidRDefault="00993637">
      <w:r>
        <w:separator/>
      </w:r>
    </w:p>
  </w:endnote>
  <w:endnote w:type="continuationSeparator" w:id="0">
    <w:p w14:paraId="724B2413" w14:textId="77777777" w:rsidR="00993637" w:rsidRDefault="00993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erpetua">
    <w:panose1 w:val="02020502060401020303"/>
    <w:charset w:val="4D"/>
    <w:family w:val="roman"/>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
    <w:altName w:val="Lucida Sans Unicode"/>
    <w:panose1 w:val="020B0602020204020303"/>
    <w:charset w:val="00"/>
    <w:family w:val="swiss"/>
    <w:pitch w:val="variable"/>
    <w:sig w:usb0="80000867" w:usb1="5000214A" w:usb2="00000000" w:usb3="00000000" w:csb0="000001FF" w:csb1="00000000"/>
  </w:font>
  <w:font w:name="Futura Medium">
    <w:altName w:val="Segoe UI"/>
    <w:panose1 w:val="020B0602020204020303"/>
    <w:charset w:val="B1"/>
    <w:family w:val="swiss"/>
    <w:pitch w:val="variable"/>
    <w:sig w:usb0="80000067"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TimesNewRomanPSMT">
    <w:panose1 w:val="02020603050405020304"/>
    <w:charset w:val="00"/>
    <w:family w:val="roman"/>
    <w:pitch w:val="variable"/>
    <w:sig w:usb0="E0002AEF" w:usb1="C0007841" w:usb2="00000009" w:usb3="00000000" w:csb0="000001FF" w:csb1="00000000"/>
  </w:font>
  <w:font w:name="CourierNewPSMT">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92AD2" w14:textId="77777777" w:rsidR="00E37EDA" w:rsidRDefault="00E37EDA">
    <w:pPr>
      <w:pStyle w:val="Footer"/>
    </w:pPr>
    <w:r>
      <w:rPr>
        <w:noProof/>
      </w:rPr>
      <mc:AlternateContent>
        <mc:Choice Requires="wps">
          <w:drawing>
            <wp:anchor distT="0" distB="0" distL="114300" distR="114300" simplePos="0" relativeHeight="251658240" behindDoc="0" locked="0" layoutInCell="1" allowOverlap="1" wp14:anchorId="206781A0" wp14:editId="3DE48A74">
              <wp:simplePos x="0" y="0"/>
              <wp:positionH relativeFrom="page">
                <wp:posOffset>1257300</wp:posOffset>
              </wp:positionH>
              <wp:positionV relativeFrom="page">
                <wp:posOffset>9455150</wp:posOffset>
              </wp:positionV>
              <wp:extent cx="5257800" cy="457200"/>
              <wp:effectExtent l="0" t="635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047E1" w14:textId="77777777" w:rsidR="00E37EDA" w:rsidRDefault="00E37EDA" w:rsidP="00CE1440">
                          <w:pPr>
                            <w:spacing w:after="40"/>
                            <w:jc w:val="center"/>
                            <w:rPr>
                              <w:rFonts w:ascii="Century Gothic" w:hAnsi="Century Gothic" w:cs="Tahoma"/>
                              <w:spacing w:val="2"/>
                              <w:sz w:val="16"/>
                              <w:szCs w:val="16"/>
                            </w:rPr>
                          </w:pPr>
                          <w:r w:rsidRPr="00184794">
                            <w:rPr>
                              <w:rFonts w:ascii="Century Gothic" w:hAnsi="Century Gothic" w:cs="Tahoma"/>
                              <w:spacing w:val="2"/>
                              <w:sz w:val="16"/>
                              <w:szCs w:val="16"/>
                            </w:rPr>
                            <w:t>4400 West 78th Street, Suite 520, Minneapolis, MN 55435     952.835.1874     www.apog.com</w:t>
                          </w:r>
                        </w:p>
                        <w:p w14:paraId="36F23E02" w14:textId="77777777" w:rsidR="00E37EDA" w:rsidRPr="00184794" w:rsidRDefault="00E37EDA" w:rsidP="00CE1440">
                          <w:pPr>
                            <w:spacing w:after="0"/>
                            <w:jc w:val="center"/>
                            <w:rPr>
                              <w:rFonts w:ascii="Century Gothic" w:hAnsi="Century Gothic" w:cs="Tahoma"/>
                              <w:color w:val="EE3D42"/>
                              <w:sz w:val="16"/>
                              <w:szCs w:val="16"/>
                            </w:rPr>
                          </w:pPr>
                          <w:r w:rsidRPr="00184794">
                            <w:rPr>
                              <w:rFonts w:ascii="Century Gothic" w:hAnsi="Century Gothic" w:cs="Tahoma"/>
                              <w:color w:val="EE3D42"/>
                              <w:sz w:val="16"/>
                              <w:szCs w:val="16"/>
                            </w:rPr>
                            <w:t>distinctive solutions by apogee for enclosing commercial buildings and framing 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781A0" id="_x0000_t202" coordsize="21600,21600" o:spt="202" path="m,l,21600r21600,l21600,xe">
              <v:stroke joinstyle="miter"/>
              <v:path gradientshapeok="t" o:connecttype="rect"/>
            </v:shapetype>
            <v:shape id="Text Box 3" o:spid="_x0000_s1026" type="#_x0000_t202" style="position:absolute;margin-left:99pt;margin-top:744.5pt;width:414pt;height: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" filled="f" stroked="f">
              <v:textbox>
                <w:txbxContent>
                  <w:p w14:paraId="03A047E1" w14:textId="77777777" w:rsidR="008C3883" w:rsidRDefault="008C3883" w:rsidP="00CE1440">
                    <w:pPr>
                      <w:spacing w:after="40"/>
                      <w:jc w:val="center"/>
                      <w:rPr>
                        <w:rFonts w:ascii="Century Gothic" w:hAnsi="Century Gothic" w:cs="Tahoma"/>
                        <w:spacing w:val="2"/>
                        <w:sz w:val="16"/>
                        <w:szCs w:val="16"/>
                      </w:rPr>
                    </w:pPr>
                    <w:r w:rsidRPr="00184794">
                      <w:rPr>
                        <w:rFonts w:ascii="Century Gothic" w:hAnsi="Century Gothic" w:cs="Tahoma"/>
                        <w:spacing w:val="2"/>
                        <w:sz w:val="16"/>
                        <w:szCs w:val="16"/>
                      </w:rPr>
                      <w:t>4400 West 78th Street, Suite 520, Minneapolis, MN 55435     952.835.1874     www.apog.com</w:t>
                    </w:r>
                  </w:p>
                  <w:p w14:paraId="36F23E02" w14:textId="77777777" w:rsidR="008C3883" w:rsidRPr="00184794" w:rsidRDefault="008C3883" w:rsidP="00CE1440">
                    <w:pPr>
                      <w:spacing w:after="0"/>
                      <w:jc w:val="center"/>
                      <w:rPr>
                        <w:rFonts w:ascii="Century Gothic" w:hAnsi="Century Gothic" w:cs="Tahoma"/>
                        <w:color w:val="EE3D42"/>
                        <w:sz w:val="16"/>
                        <w:szCs w:val="16"/>
                      </w:rPr>
                    </w:pPr>
                    <w:r w:rsidRPr="00184794">
                      <w:rPr>
                        <w:rFonts w:ascii="Century Gothic" w:hAnsi="Century Gothic" w:cs="Tahoma"/>
                        <w:color w:val="EE3D42"/>
                        <w:sz w:val="16"/>
                        <w:szCs w:val="16"/>
                      </w:rPr>
                      <w:t>distinctive solutions by apogee for enclosing commercial buildings and framing art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CCC9F" w14:textId="77777777" w:rsidR="00993637" w:rsidRDefault="00993637">
      <w:r>
        <w:separator/>
      </w:r>
    </w:p>
  </w:footnote>
  <w:footnote w:type="continuationSeparator" w:id="0">
    <w:p w14:paraId="6EA2DC04" w14:textId="77777777" w:rsidR="00993637" w:rsidRDefault="00993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DB061" w14:textId="77777777" w:rsidR="00E37EDA" w:rsidRDefault="00E37EDA">
    <w:pPr>
      <w:pStyle w:val="Header"/>
    </w:pPr>
    <w:r>
      <w:rPr>
        <w:noProof/>
      </w:rPr>
      <w:drawing>
        <wp:anchor distT="0" distB="0" distL="114300" distR="114300" simplePos="0" relativeHeight="251657216" behindDoc="0" locked="0" layoutInCell="1" allowOverlap="1" wp14:anchorId="20FB4DF2" wp14:editId="2C007346">
          <wp:simplePos x="0" y="0"/>
          <wp:positionH relativeFrom="page">
            <wp:posOffset>631190</wp:posOffset>
          </wp:positionH>
          <wp:positionV relativeFrom="page">
            <wp:posOffset>475615</wp:posOffset>
          </wp:positionV>
          <wp:extent cx="1485900" cy="1266825"/>
          <wp:effectExtent l="0" t="0" r="12700" b="3175"/>
          <wp:wrapNone/>
          <wp:docPr id="3" name="Picture 3" descr="Apog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ogee"/>
                  <pic:cNvPicPr>
                    <a:picLocks noChangeAspect="1" noChangeArrowheads="1"/>
                  </pic:cNvPicPr>
                </pic:nvPicPr>
                <pic:blipFill rotWithShape="1">
                  <a:blip r:embed="rId1">
                    <a:extLst>
                      <a:ext uri="{28A0092B-C50C-407E-A947-70E740481C1C}">
                        <a14:useLocalDpi xmlns:a14="http://schemas.microsoft.com/office/drawing/2010/main" val="0"/>
                      </a:ext>
                    </a:extLst>
                  </a:blip>
                  <a:srcRect t="-7027"/>
                  <a:stretch/>
                </pic:blipFill>
                <pic:spPr bwMode="auto">
                  <a:xfrm>
                    <a:off x="0" y="0"/>
                    <a:ext cx="148590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228A4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1415E"/>
    <w:multiLevelType w:val="hybridMultilevel"/>
    <w:tmpl w:val="05086A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5C46436"/>
    <w:multiLevelType w:val="hybridMultilevel"/>
    <w:tmpl w:val="782EFBB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26A2F85"/>
    <w:multiLevelType w:val="hybridMultilevel"/>
    <w:tmpl w:val="A0C64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616870"/>
    <w:multiLevelType w:val="hybridMultilevel"/>
    <w:tmpl w:val="AF62BC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B1431F"/>
    <w:multiLevelType w:val="hybridMultilevel"/>
    <w:tmpl w:val="7172B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3610DE"/>
    <w:multiLevelType w:val="hybridMultilevel"/>
    <w:tmpl w:val="95D0E61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301A7F4E"/>
    <w:multiLevelType w:val="hybridMultilevel"/>
    <w:tmpl w:val="313EA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A753B1"/>
    <w:multiLevelType w:val="hybridMultilevel"/>
    <w:tmpl w:val="C6D2E0F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4B1B027B"/>
    <w:multiLevelType w:val="hybridMultilevel"/>
    <w:tmpl w:val="B180EEF0"/>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C7326EF"/>
    <w:multiLevelType w:val="hybridMultilevel"/>
    <w:tmpl w:val="D480B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0B557F2"/>
    <w:multiLevelType w:val="hybridMultilevel"/>
    <w:tmpl w:val="51CC5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5E4531"/>
    <w:multiLevelType w:val="hybridMultilevel"/>
    <w:tmpl w:val="D84EB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A4B7E37"/>
    <w:multiLevelType w:val="hybridMultilevel"/>
    <w:tmpl w:val="A6C2F4FC"/>
    <w:lvl w:ilvl="0" w:tplc="15608728">
      <w:start w:val="1"/>
      <w:numFmt w:val="bullet"/>
      <w:lvlText w:val=""/>
      <w:lvlJc w:val="left"/>
      <w:pPr>
        <w:ind w:left="630" w:hanging="360"/>
      </w:pPr>
      <w:rPr>
        <w:rFonts w:ascii="Symbol" w:hAnsi="Symbol"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num>
  <w:num w:numId="2">
    <w:abstractNumId w:val="6"/>
  </w:num>
  <w:num w:numId="3">
    <w:abstractNumId w:val="8"/>
  </w:num>
  <w:num w:numId="4">
    <w:abstractNumId w:val="3"/>
  </w:num>
  <w:num w:numId="5">
    <w:abstractNumId w:val="10"/>
  </w:num>
  <w:num w:numId="6">
    <w:abstractNumId w:val="4"/>
  </w:num>
  <w:num w:numId="7">
    <w:abstractNumId w:val="11"/>
  </w:num>
  <w:num w:numId="8">
    <w:abstractNumId w:val="7"/>
  </w:num>
  <w:num w:numId="9">
    <w:abstractNumId w:val="12"/>
  </w:num>
  <w:num w:numId="10">
    <w:abstractNumId w:val="2"/>
  </w:num>
  <w:num w:numId="11">
    <w:abstractNumId w:val="1"/>
  </w:num>
  <w:num w:numId="12">
    <w:abstractNumId w:val="5"/>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A70"/>
    <w:rsid w:val="00002532"/>
    <w:rsid w:val="0000255E"/>
    <w:rsid w:val="00004769"/>
    <w:rsid w:val="00012D78"/>
    <w:rsid w:val="00012EFA"/>
    <w:rsid w:val="00013D42"/>
    <w:rsid w:val="00017724"/>
    <w:rsid w:val="00020970"/>
    <w:rsid w:val="00022F91"/>
    <w:rsid w:val="0002396C"/>
    <w:rsid w:val="0002593A"/>
    <w:rsid w:val="00026AF1"/>
    <w:rsid w:val="00027DDB"/>
    <w:rsid w:val="0003386B"/>
    <w:rsid w:val="00034640"/>
    <w:rsid w:val="00037185"/>
    <w:rsid w:val="000431CC"/>
    <w:rsid w:val="00046EFB"/>
    <w:rsid w:val="00053211"/>
    <w:rsid w:val="00065659"/>
    <w:rsid w:val="00070320"/>
    <w:rsid w:val="00072A91"/>
    <w:rsid w:val="00073D4F"/>
    <w:rsid w:val="00075D01"/>
    <w:rsid w:val="00076833"/>
    <w:rsid w:val="0008230B"/>
    <w:rsid w:val="00084C5A"/>
    <w:rsid w:val="0009035B"/>
    <w:rsid w:val="00090BCD"/>
    <w:rsid w:val="00093C0F"/>
    <w:rsid w:val="000A3AE6"/>
    <w:rsid w:val="000A6535"/>
    <w:rsid w:val="000A77E1"/>
    <w:rsid w:val="000B19E6"/>
    <w:rsid w:val="000B1EAD"/>
    <w:rsid w:val="000B2B28"/>
    <w:rsid w:val="000C053D"/>
    <w:rsid w:val="000C526A"/>
    <w:rsid w:val="000C6FC8"/>
    <w:rsid w:val="000D19F0"/>
    <w:rsid w:val="000D2949"/>
    <w:rsid w:val="000E2149"/>
    <w:rsid w:val="000F2F2A"/>
    <w:rsid w:val="000F4AE0"/>
    <w:rsid w:val="00106138"/>
    <w:rsid w:val="001101F0"/>
    <w:rsid w:val="00113DA4"/>
    <w:rsid w:val="001143A5"/>
    <w:rsid w:val="00117D9E"/>
    <w:rsid w:val="00121559"/>
    <w:rsid w:val="00125FB7"/>
    <w:rsid w:val="00130045"/>
    <w:rsid w:val="00136C57"/>
    <w:rsid w:val="001416BE"/>
    <w:rsid w:val="00141D26"/>
    <w:rsid w:val="00144C44"/>
    <w:rsid w:val="00144D71"/>
    <w:rsid w:val="00150BF8"/>
    <w:rsid w:val="001546FC"/>
    <w:rsid w:val="001556A3"/>
    <w:rsid w:val="00156A5B"/>
    <w:rsid w:val="001612E7"/>
    <w:rsid w:val="00164399"/>
    <w:rsid w:val="001661B2"/>
    <w:rsid w:val="00184794"/>
    <w:rsid w:val="00185474"/>
    <w:rsid w:val="001870CA"/>
    <w:rsid w:val="00195835"/>
    <w:rsid w:val="001A22FA"/>
    <w:rsid w:val="001A32B7"/>
    <w:rsid w:val="001A36A7"/>
    <w:rsid w:val="001A7245"/>
    <w:rsid w:val="001B5A4E"/>
    <w:rsid w:val="001D2215"/>
    <w:rsid w:val="001D2DC9"/>
    <w:rsid w:val="001D32BF"/>
    <w:rsid w:val="001D33EA"/>
    <w:rsid w:val="001D55B4"/>
    <w:rsid w:val="001D71EB"/>
    <w:rsid w:val="001D7926"/>
    <w:rsid w:val="001E1BA6"/>
    <w:rsid w:val="001E26D1"/>
    <w:rsid w:val="001E6E36"/>
    <w:rsid w:val="001F663B"/>
    <w:rsid w:val="00201C6C"/>
    <w:rsid w:val="002077AE"/>
    <w:rsid w:val="00211CB9"/>
    <w:rsid w:val="0021412C"/>
    <w:rsid w:val="00220D6A"/>
    <w:rsid w:val="002249F0"/>
    <w:rsid w:val="0022609F"/>
    <w:rsid w:val="00226AF0"/>
    <w:rsid w:val="00230015"/>
    <w:rsid w:val="00234277"/>
    <w:rsid w:val="002406EB"/>
    <w:rsid w:val="00245CD5"/>
    <w:rsid w:val="0024745C"/>
    <w:rsid w:val="0025351A"/>
    <w:rsid w:val="00257089"/>
    <w:rsid w:val="00257D24"/>
    <w:rsid w:val="002602F3"/>
    <w:rsid w:val="00261123"/>
    <w:rsid w:val="00262311"/>
    <w:rsid w:val="00275109"/>
    <w:rsid w:val="002754B5"/>
    <w:rsid w:val="0028611E"/>
    <w:rsid w:val="002918FF"/>
    <w:rsid w:val="0029261B"/>
    <w:rsid w:val="002928E6"/>
    <w:rsid w:val="00294A08"/>
    <w:rsid w:val="00296767"/>
    <w:rsid w:val="002A091B"/>
    <w:rsid w:val="002A4A63"/>
    <w:rsid w:val="002A4F03"/>
    <w:rsid w:val="002A6E9C"/>
    <w:rsid w:val="002D1E90"/>
    <w:rsid w:val="002D4F41"/>
    <w:rsid w:val="002D710F"/>
    <w:rsid w:val="002E1770"/>
    <w:rsid w:val="002E4249"/>
    <w:rsid w:val="002F2EF4"/>
    <w:rsid w:val="003029B3"/>
    <w:rsid w:val="00302F4A"/>
    <w:rsid w:val="003119B8"/>
    <w:rsid w:val="00314933"/>
    <w:rsid w:val="00314972"/>
    <w:rsid w:val="00315AED"/>
    <w:rsid w:val="003161AC"/>
    <w:rsid w:val="00316B00"/>
    <w:rsid w:val="00317533"/>
    <w:rsid w:val="0032175C"/>
    <w:rsid w:val="00324C62"/>
    <w:rsid w:val="00331C65"/>
    <w:rsid w:val="00332DAD"/>
    <w:rsid w:val="00340794"/>
    <w:rsid w:val="00341B6C"/>
    <w:rsid w:val="003447AC"/>
    <w:rsid w:val="00347190"/>
    <w:rsid w:val="00347240"/>
    <w:rsid w:val="00347B60"/>
    <w:rsid w:val="00351C86"/>
    <w:rsid w:val="00354DD9"/>
    <w:rsid w:val="00356F2A"/>
    <w:rsid w:val="00357463"/>
    <w:rsid w:val="00371A6D"/>
    <w:rsid w:val="00374E93"/>
    <w:rsid w:val="003772B7"/>
    <w:rsid w:val="003776E5"/>
    <w:rsid w:val="00381013"/>
    <w:rsid w:val="00381A89"/>
    <w:rsid w:val="003964D3"/>
    <w:rsid w:val="003A0AED"/>
    <w:rsid w:val="003A4BC2"/>
    <w:rsid w:val="003A545A"/>
    <w:rsid w:val="003B1EAA"/>
    <w:rsid w:val="003B4098"/>
    <w:rsid w:val="003B4669"/>
    <w:rsid w:val="003B6B5D"/>
    <w:rsid w:val="003C3A1F"/>
    <w:rsid w:val="003C5984"/>
    <w:rsid w:val="003E1846"/>
    <w:rsid w:val="003E4226"/>
    <w:rsid w:val="003E74D1"/>
    <w:rsid w:val="003F1EB3"/>
    <w:rsid w:val="003F6E5D"/>
    <w:rsid w:val="004011B6"/>
    <w:rsid w:val="00401CCB"/>
    <w:rsid w:val="00403CF5"/>
    <w:rsid w:val="00404233"/>
    <w:rsid w:val="00404A7B"/>
    <w:rsid w:val="00410172"/>
    <w:rsid w:val="00424405"/>
    <w:rsid w:val="00426A70"/>
    <w:rsid w:val="0042719A"/>
    <w:rsid w:val="00432143"/>
    <w:rsid w:val="0043397E"/>
    <w:rsid w:val="00443C3A"/>
    <w:rsid w:val="00443C9F"/>
    <w:rsid w:val="00446F4A"/>
    <w:rsid w:val="00447264"/>
    <w:rsid w:val="00447C65"/>
    <w:rsid w:val="00453517"/>
    <w:rsid w:val="00454A63"/>
    <w:rsid w:val="004612A8"/>
    <w:rsid w:val="004639BD"/>
    <w:rsid w:val="004650CA"/>
    <w:rsid w:val="00466066"/>
    <w:rsid w:val="00474EBD"/>
    <w:rsid w:val="00477B2F"/>
    <w:rsid w:val="00482D3D"/>
    <w:rsid w:val="00483010"/>
    <w:rsid w:val="00483860"/>
    <w:rsid w:val="00484BB2"/>
    <w:rsid w:val="004A38E4"/>
    <w:rsid w:val="004A402B"/>
    <w:rsid w:val="004A461A"/>
    <w:rsid w:val="004A5723"/>
    <w:rsid w:val="004B263A"/>
    <w:rsid w:val="004B3AE2"/>
    <w:rsid w:val="004C1767"/>
    <w:rsid w:val="004C185C"/>
    <w:rsid w:val="004C4E77"/>
    <w:rsid w:val="004C71B3"/>
    <w:rsid w:val="004C724C"/>
    <w:rsid w:val="004D3237"/>
    <w:rsid w:val="004E01BD"/>
    <w:rsid w:val="004E281A"/>
    <w:rsid w:val="004F1B48"/>
    <w:rsid w:val="004F4F13"/>
    <w:rsid w:val="004F599E"/>
    <w:rsid w:val="004F6BCC"/>
    <w:rsid w:val="00502219"/>
    <w:rsid w:val="00517D7C"/>
    <w:rsid w:val="00523E69"/>
    <w:rsid w:val="005241CD"/>
    <w:rsid w:val="0052615A"/>
    <w:rsid w:val="00526FA9"/>
    <w:rsid w:val="00531AFF"/>
    <w:rsid w:val="005322CA"/>
    <w:rsid w:val="0053553F"/>
    <w:rsid w:val="00546E70"/>
    <w:rsid w:val="005520F4"/>
    <w:rsid w:val="005535C4"/>
    <w:rsid w:val="005559C5"/>
    <w:rsid w:val="00555D92"/>
    <w:rsid w:val="0056033B"/>
    <w:rsid w:val="00560C27"/>
    <w:rsid w:val="0056725C"/>
    <w:rsid w:val="00576B7B"/>
    <w:rsid w:val="00580F96"/>
    <w:rsid w:val="00581AF8"/>
    <w:rsid w:val="00583186"/>
    <w:rsid w:val="005840EC"/>
    <w:rsid w:val="005911EF"/>
    <w:rsid w:val="00594184"/>
    <w:rsid w:val="00594F54"/>
    <w:rsid w:val="0059737D"/>
    <w:rsid w:val="005A31A9"/>
    <w:rsid w:val="005A611C"/>
    <w:rsid w:val="005A6207"/>
    <w:rsid w:val="005A644A"/>
    <w:rsid w:val="005A6DDC"/>
    <w:rsid w:val="005A716C"/>
    <w:rsid w:val="005B1571"/>
    <w:rsid w:val="005B203C"/>
    <w:rsid w:val="005C1A89"/>
    <w:rsid w:val="005C4F5D"/>
    <w:rsid w:val="005C51B3"/>
    <w:rsid w:val="005D2796"/>
    <w:rsid w:val="005D2962"/>
    <w:rsid w:val="005D7D55"/>
    <w:rsid w:val="005E04EE"/>
    <w:rsid w:val="005E36D8"/>
    <w:rsid w:val="005E6F47"/>
    <w:rsid w:val="005F0DC6"/>
    <w:rsid w:val="005F3E60"/>
    <w:rsid w:val="005F55A7"/>
    <w:rsid w:val="005F5AA6"/>
    <w:rsid w:val="006010A5"/>
    <w:rsid w:val="00601401"/>
    <w:rsid w:val="006052A5"/>
    <w:rsid w:val="006057EB"/>
    <w:rsid w:val="00612416"/>
    <w:rsid w:val="00620768"/>
    <w:rsid w:val="00622668"/>
    <w:rsid w:val="00624D1E"/>
    <w:rsid w:val="0063457F"/>
    <w:rsid w:val="006354FD"/>
    <w:rsid w:val="006435B8"/>
    <w:rsid w:val="006442BE"/>
    <w:rsid w:val="00650BC4"/>
    <w:rsid w:val="006511FC"/>
    <w:rsid w:val="00664EC8"/>
    <w:rsid w:val="00666270"/>
    <w:rsid w:val="00667964"/>
    <w:rsid w:val="00670612"/>
    <w:rsid w:val="00671883"/>
    <w:rsid w:val="006748C8"/>
    <w:rsid w:val="00685D09"/>
    <w:rsid w:val="00686000"/>
    <w:rsid w:val="00686B91"/>
    <w:rsid w:val="006A45DE"/>
    <w:rsid w:val="006A6C42"/>
    <w:rsid w:val="006B07EC"/>
    <w:rsid w:val="006B197C"/>
    <w:rsid w:val="006B4FA4"/>
    <w:rsid w:val="006C086E"/>
    <w:rsid w:val="006C2A0E"/>
    <w:rsid w:val="006C368A"/>
    <w:rsid w:val="006C3A30"/>
    <w:rsid w:val="006D4533"/>
    <w:rsid w:val="006D5770"/>
    <w:rsid w:val="006D58F3"/>
    <w:rsid w:val="006E1176"/>
    <w:rsid w:val="006E661A"/>
    <w:rsid w:val="006F27BD"/>
    <w:rsid w:val="006F61BA"/>
    <w:rsid w:val="00701BCC"/>
    <w:rsid w:val="0071348C"/>
    <w:rsid w:val="0072026F"/>
    <w:rsid w:val="00721B44"/>
    <w:rsid w:val="00731EB1"/>
    <w:rsid w:val="00736B3F"/>
    <w:rsid w:val="00740881"/>
    <w:rsid w:val="007411DD"/>
    <w:rsid w:val="00743818"/>
    <w:rsid w:val="007444F0"/>
    <w:rsid w:val="00752091"/>
    <w:rsid w:val="00754FF6"/>
    <w:rsid w:val="0075546C"/>
    <w:rsid w:val="00756294"/>
    <w:rsid w:val="007622EA"/>
    <w:rsid w:val="00762E6D"/>
    <w:rsid w:val="00773140"/>
    <w:rsid w:val="00774F58"/>
    <w:rsid w:val="00780B5A"/>
    <w:rsid w:val="00790C7B"/>
    <w:rsid w:val="00793CEF"/>
    <w:rsid w:val="00795E70"/>
    <w:rsid w:val="007A5EBE"/>
    <w:rsid w:val="007A618E"/>
    <w:rsid w:val="007B0EC5"/>
    <w:rsid w:val="007B69B4"/>
    <w:rsid w:val="007B7D72"/>
    <w:rsid w:val="007C3834"/>
    <w:rsid w:val="007C70A6"/>
    <w:rsid w:val="007D28A5"/>
    <w:rsid w:val="007D391B"/>
    <w:rsid w:val="007E088D"/>
    <w:rsid w:val="007E2C1F"/>
    <w:rsid w:val="007E40C6"/>
    <w:rsid w:val="007E4197"/>
    <w:rsid w:val="007E5065"/>
    <w:rsid w:val="007F339E"/>
    <w:rsid w:val="008029EE"/>
    <w:rsid w:val="008130AD"/>
    <w:rsid w:val="00817219"/>
    <w:rsid w:val="00820F80"/>
    <w:rsid w:val="008249C2"/>
    <w:rsid w:val="008265AE"/>
    <w:rsid w:val="0082738B"/>
    <w:rsid w:val="008431E9"/>
    <w:rsid w:val="00843B93"/>
    <w:rsid w:val="00845FFC"/>
    <w:rsid w:val="00846614"/>
    <w:rsid w:val="00847213"/>
    <w:rsid w:val="0085031E"/>
    <w:rsid w:val="0085044A"/>
    <w:rsid w:val="00851AA2"/>
    <w:rsid w:val="008535FA"/>
    <w:rsid w:val="00854EDE"/>
    <w:rsid w:val="0086096E"/>
    <w:rsid w:val="00863710"/>
    <w:rsid w:val="00865206"/>
    <w:rsid w:val="008707A2"/>
    <w:rsid w:val="00881697"/>
    <w:rsid w:val="0088185D"/>
    <w:rsid w:val="00892CB2"/>
    <w:rsid w:val="00897454"/>
    <w:rsid w:val="00897A06"/>
    <w:rsid w:val="008A01D5"/>
    <w:rsid w:val="008A05EE"/>
    <w:rsid w:val="008B0BA2"/>
    <w:rsid w:val="008B293A"/>
    <w:rsid w:val="008B7D54"/>
    <w:rsid w:val="008C0517"/>
    <w:rsid w:val="008C3883"/>
    <w:rsid w:val="008C4014"/>
    <w:rsid w:val="008C412B"/>
    <w:rsid w:val="008C4184"/>
    <w:rsid w:val="008C4EFE"/>
    <w:rsid w:val="008D04A5"/>
    <w:rsid w:val="008D41F5"/>
    <w:rsid w:val="008D659C"/>
    <w:rsid w:val="008E47B4"/>
    <w:rsid w:val="008F085F"/>
    <w:rsid w:val="008F2A05"/>
    <w:rsid w:val="008F5355"/>
    <w:rsid w:val="009005DB"/>
    <w:rsid w:val="009032E5"/>
    <w:rsid w:val="00905E7A"/>
    <w:rsid w:val="00914A48"/>
    <w:rsid w:val="00922D83"/>
    <w:rsid w:val="00922E15"/>
    <w:rsid w:val="009251B1"/>
    <w:rsid w:val="009421EF"/>
    <w:rsid w:val="00944E61"/>
    <w:rsid w:val="009458B6"/>
    <w:rsid w:val="00947F40"/>
    <w:rsid w:val="00952560"/>
    <w:rsid w:val="0095462F"/>
    <w:rsid w:val="0095608B"/>
    <w:rsid w:val="00963AA8"/>
    <w:rsid w:val="00970883"/>
    <w:rsid w:val="00970FDA"/>
    <w:rsid w:val="00975C49"/>
    <w:rsid w:val="00976038"/>
    <w:rsid w:val="00980994"/>
    <w:rsid w:val="0098268A"/>
    <w:rsid w:val="009827CD"/>
    <w:rsid w:val="009838ED"/>
    <w:rsid w:val="00984096"/>
    <w:rsid w:val="00984536"/>
    <w:rsid w:val="00987D2C"/>
    <w:rsid w:val="00987D64"/>
    <w:rsid w:val="00993637"/>
    <w:rsid w:val="009978FE"/>
    <w:rsid w:val="009A2DE3"/>
    <w:rsid w:val="009A5987"/>
    <w:rsid w:val="009A6664"/>
    <w:rsid w:val="009A7AA4"/>
    <w:rsid w:val="009B4080"/>
    <w:rsid w:val="009B51F2"/>
    <w:rsid w:val="009C6EF4"/>
    <w:rsid w:val="009C77A7"/>
    <w:rsid w:val="009D0BD4"/>
    <w:rsid w:val="009D1022"/>
    <w:rsid w:val="009D1701"/>
    <w:rsid w:val="009D756E"/>
    <w:rsid w:val="009F232A"/>
    <w:rsid w:val="009F2694"/>
    <w:rsid w:val="009F3701"/>
    <w:rsid w:val="009F6626"/>
    <w:rsid w:val="00A0212B"/>
    <w:rsid w:val="00A066BB"/>
    <w:rsid w:val="00A06792"/>
    <w:rsid w:val="00A11E6A"/>
    <w:rsid w:val="00A1477B"/>
    <w:rsid w:val="00A16DFE"/>
    <w:rsid w:val="00A20152"/>
    <w:rsid w:val="00A201E5"/>
    <w:rsid w:val="00A21101"/>
    <w:rsid w:val="00A324DB"/>
    <w:rsid w:val="00A359A2"/>
    <w:rsid w:val="00A3791C"/>
    <w:rsid w:val="00A379FE"/>
    <w:rsid w:val="00A406B4"/>
    <w:rsid w:val="00A412AB"/>
    <w:rsid w:val="00A508A7"/>
    <w:rsid w:val="00A51D56"/>
    <w:rsid w:val="00A61A51"/>
    <w:rsid w:val="00A61B7E"/>
    <w:rsid w:val="00A644AB"/>
    <w:rsid w:val="00A6534D"/>
    <w:rsid w:val="00A65C1D"/>
    <w:rsid w:val="00A6661B"/>
    <w:rsid w:val="00A72870"/>
    <w:rsid w:val="00A81034"/>
    <w:rsid w:val="00A84B26"/>
    <w:rsid w:val="00A91481"/>
    <w:rsid w:val="00A9219B"/>
    <w:rsid w:val="00A93825"/>
    <w:rsid w:val="00A974D7"/>
    <w:rsid w:val="00AA1691"/>
    <w:rsid w:val="00AA5EE7"/>
    <w:rsid w:val="00AA6897"/>
    <w:rsid w:val="00AA6B9F"/>
    <w:rsid w:val="00AB14A2"/>
    <w:rsid w:val="00AC1E43"/>
    <w:rsid w:val="00AC261C"/>
    <w:rsid w:val="00AC4A0A"/>
    <w:rsid w:val="00AD1CE3"/>
    <w:rsid w:val="00AD5807"/>
    <w:rsid w:val="00AE3027"/>
    <w:rsid w:val="00AF0256"/>
    <w:rsid w:val="00AF1DD2"/>
    <w:rsid w:val="00AF3524"/>
    <w:rsid w:val="00AF3A22"/>
    <w:rsid w:val="00AF3A3E"/>
    <w:rsid w:val="00B01E1E"/>
    <w:rsid w:val="00B03CE8"/>
    <w:rsid w:val="00B06898"/>
    <w:rsid w:val="00B15475"/>
    <w:rsid w:val="00B159B7"/>
    <w:rsid w:val="00B16D02"/>
    <w:rsid w:val="00B20223"/>
    <w:rsid w:val="00B2287E"/>
    <w:rsid w:val="00B237BB"/>
    <w:rsid w:val="00B24579"/>
    <w:rsid w:val="00B331BB"/>
    <w:rsid w:val="00B3671E"/>
    <w:rsid w:val="00B408A1"/>
    <w:rsid w:val="00B438AF"/>
    <w:rsid w:val="00B466AF"/>
    <w:rsid w:val="00B51280"/>
    <w:rsid w:val="00B52991"/>
    <w:rsid w:val="00B52B20"/>
    <w:rsid w:val="00B53F94"/>
    <w:rsid w:val="00B56BFF"/>
    <w:rsid w:val="00B57A3A"/>
    <w:rsid w:val="00B605DD"/>
    <w:rsid w:val="00B61254"/>
    <w:rsid w:val="00B6634A"/>
    <w:rsid w:val="00B669C9"/>
    <w:rsid w:val="00B67269"/>
    <w:rsid w:val="00B674D8"/>
    <w:rsid w:val="00B81DA0"/>
    <w:rsid w:val="00B86C86"/>
    <w:rsid w:val="00B93F02"/>
    <w:rsid w:val="00B97E60"/>
    <w:rsid w:val="00BA6739"/>
    <w:rsid w:val="00BB3083"/>
    <w:rsid w:val="00BB553F"/>
    <w:rsid w:val="00BC221F"/>
    <w:rsid w:val="00BC4194"/>
    <w:rsid w:val="00BC755D"/>
    <w:rsid w:val="00BC7C27"/>
    <w:rsid w:val="00BD16B3"/>
    <w:rsid w:val="00BD1F04"/>
    <w:rsid w:val="00BD5D4A"/>
    <w:rsid w:val="00BD73D2"/>
    <w:rsid w:val="00BD74D9"/>
    <w:rsid w:val="00BE343D"/>
    <w:rsid w:val="00BE38D8"/>
    <w:rsid w:val="00BE6D23"/>
    <w:rsid w:val="00BF0B99"/>
    <w:rsid w:val="00BF6116"/>
    <w:rsid w:val="00C00616"/>
    <w:rsid w:val="00C01F2B"/>
    <w:rsid w:val="00C02444"/>
    <w:rsid w:val="00C063BE"/>
    <w:rsid w:val="00C14F6B"/>
    <w:rsid w:val="00C20B50"/>
    <w:rsid w:val="00C26516"/>
    <w:rsid w:val="00C33565"/>
    <w:rsid w:val="00C35D01"/>
    <w:rsid w:val="00C35FE1"/>
    <w:rsid w:val="00C360FA"/>
    <w:rsid w:val="00C3745F"/>
    <w:rsid w:val="00C4064C"/>
    <w:rsid w:val="00C41900"/>
    <w:rsid w:val="00C46AF6"/>
    <w:rsid w:val="00C47284"/>
    <w:rsid w:val="00C52A4D"/>
    <w:rsid w:val="00C647E3"/>
    <w:rsid w:val="00C65D21"/>
    <w:rsid w:val="00C67C42"/>
    <w:rsid w:val="00C706C9"/>
    <w:rsid w:val="00C7400B"/>
    <w:rsid w:val="00C764C5"/>
    <w:rsid w:val="00C813A8"/>
    <w:rsid w:val="00C82914"/>
    <w:rsid w:val="00C8603C"/>
    <w:rsid w:val="00CA46B4"/>
    <w:rsid w:val="00CB06E8"/>
    <w:rsid w:val="00CB08A4"/>
    <w:rsid w:val="00CB3313"/>
    <w:rsid w:val="00CB7AA5"/>
    <w:rsid w:val="00CC1AFB"/>
    <w:rsid w:val="00CC45CD"/>
    <w:rsid w:val="00CC5F38"/>
    <w:rsid w:val="00CD345F"/>
    <w:rsid w:val="00CD5786"/>
    <w:rsid w:val="00CD68D7"/>
    <w:rsid w:val="00CE1440"/>
    <w:rsid w:val="00CE4334"/>
    <w:rsid w:val="00CE7444"/>
    <w:rsid w:val="00CF6E55"/>
    <w:rsid w:val="00CF6FCB"/>
    <w:rsid w:val="00CF7331"/>
    <w:rsid w:val="00CF7542"/>
    <w:rsid w:val="00D022EC"/>
    <w:rsid w:val="00D0316E"/>
    <w:rsid w:val="00D13784"/>
    <w:rsid w:val="00D15C01"/>
    <w:rsid w:val="00D15F2E"/>
    <w:rsid w:val="00D17C03"/>
    <w:rsid w:val="00D229D0"/>
    <w:rsid w:val="00D23A5D"/>
    <w:rsid w:val="00D27326"/>
    <w:rsid w:val="00D315E0"/>
    <w:rsid w:val="00D4363F"/>
    <w:rsid w:val="00D50C5D"/>
    <w:rsid w:val="00D516EE"/>
    <w:rsid w:val="00D5799B"/>
    <w:rsid w:val="00D6148A"/>
    <w:rsid w:val="00D61884"/>
    <w:rsid w:val="00D622DA"/>
    <w:rsid w:val="00D70B69"/>
    <w:rsid w:val="00D710E0"/>
    <w:rsid w:val="00D756CD"/>
    <w:rsid w:val="00D77991"/>
    <w:rsid w:val="00D81929"/>
    <w:rsid w:val="00D822B9"/>
    <w:rsid w:val="00D90BCF"/>
    <w:rsid w:val="00D95A91"/>
    <w:rsid w:val="00DA49F2"/>
    <w:rsid w:val="00DA5326"/>
    <w:rsid w:val="00DB037B"/>
    <w:rsid w:val="00DB2A1C"/>
    <w:rsid w:val="00DB5992"/>
    <w:rsid w:val="00DC17AC"/>
    <w:rsid w:val="00DC223A"/>
    <w:rsid w:val="00DC501C"/>
    <w:rsid w:val="00DC52FC"/>
    <w:rsid w:val="00DC7761"/>
    <w:rsid w:val="00DD0374"/>
    <w:rsid w:val="00DD5A50"/>
    <w:rsid w:val="00DD6902"/>
    <w:rsid w:val="00DD71E5"/>
    <w:rsid w:val="00DE14C1"/>
    <w:rsid w:val="00DF05A3"/>
    <w:rsid w:val="00DF2CBC"/>
    <w:rsid w:val="00DF45B6"/>
    <w:rsid w:val="00DF4DCF"/>
    <w:rsid w:val="00DF5FC1"/>
    <w:rsid w:val="00DF7A9C"/>
    <w:rsid w:val="00DF7D35"/>
    <w:rsid w:val="00E15FD4"/>
    <w:rsid w:val="00E23CA7"/>
    <w:rsid w:val="00E23DAF"/>
    <w:rsid w:val="00E307D7"/>
    <w:rsid w:val="00E31BA9"/>
    <w:rsid w:val="00E34641"/>
    <w:rsid w:val="00E34E0A"/>
    <w:rsid w:val="00E3697E"/>
    <w:rsid w:val="00E37EDA"/>
    <w:rsid w:val="00E44269"/>
    <w:rsid w:val="00E44A86"/>
    <w:rsid w:val="00E5031E"/>
    <w:rsid w:val="00E51345"/>
    <w:rsid w:val="00E527F5"/>
    <w:rsid w:val="00E536F3"/>
    <w:rsid w:val="00E66EAB"/>
    <w:rsid w:val="00E712D1"/>
    <w:rsid w:val="00E847C5"/>
    <w:rsid w:val="00E87A40"/>
    <w:rsid w:val="00E90087"/>
    <w:rsid w:val="00E90676"/>
    <w:rsid w:val="00E92005"/>
    <w:rsid w:val="00E95DCC"/>
    <w:rsid w:val="00E96978"/>
    <w:rsid w:val="00E96D9A"/>
    <w:rsid w:val="00EA0DB1"/>
    <w:rsid w:val="00EA5E01"/>
    <w:rsid w:val="00EB04F7"/>
    <w:rsid w:val="00EB1A25"/>
    <w:rsid w:val="00EB54F9"/>
    <w:rsid w:val="00EB5C91"/>
    <w:rsid w:val="00EB5FC5"/>
    <w:rsid w:val="00EC1211"/>
    <w:rsid w:val="00EC1616"/>
    <w:rsid w:val="00EC5B58"/>
    <w:rsid w:val="00EC7ABC"/>
    <w:rsid w:val="00ED1838"/>
    <w:rsid w:val="00ED33EE"/>
    <w:rsid w:val="00EF1BB7"/>
    <w:rsid w:val="00EF2A17"/>
    <w:rsid w:val="00EF4D08"/>
    <w:rsid w:val="00EF538A"/>
    <w:rsid w:val="00F017AC"/>
    <w:rsid w:val="00F05A20"/>
    <w:rsid w:val="00F07063"/>
    <w:rsid w:val="00F102A5"/>
    <w:rsid w:val="00F1100C"/>
    <w:rsid w:val="00F131B2"/>
    <w:rsid w:val="00F13F8F"/>
    <w:rsid w:val="00F169F4"/>
    <w:rsid w:val="00F21152"/>
    <w:rsid w:val="00F25C80"/>
    <w:rsid w:val="00F276FE"/>
    <w:rsid w:val="00F30B62"/>
    <w:rsid w:val="00F34D44"/>
    <w:rsid w:val="00F43D75"/>
    <w:rsid w:val="00F4548A"/>
    <w:rsid w:val="00F469DF"/>
    <w:rsid w:val="00F53A88"/>
    <w:rsid w:val="00F56897"/>
    <w:rsid w:val="00F5744E"/>
    <w:rsid w:val="00F609F7"/>
    <w:rsid w:val="00F63E0C"/>
    <w:rsid w:val="00F63FC0"/>
    <w:rsid w:val="00F65D4B"/>
    <w:rsid w:val="00F66199"/>
    <w:rsid w:val="00F66E4E"/>
    <w:rsid w:val="00F765CC"/>
    <w:rsid w:val="00F84D7D"/>
    <w:rsid w:val="00F93305"/>
    <w:rsid w:val="00FA0426"/>
    <w:rsid w:val="00FA210D"/>
    <w:rsid w:val="00FA3FDE"/>
    <w:rsid w:val="00FA4D50"/>
    <w:rsid w:val="00FB162F"/>
    <w:rsid w:val="00FC3362"/>
    <w:rsid w:val="00FC62A3"/>
    <w:rsid w:val="00FD24F4"/>
    <w:rsid w:val="00FD2B74"/>
    <w:rsid w:val="00FD4E17"/>
    <w:rsid w:val="00FD5229"/>
    <w:rsid w:val="00FD5E5E"/>
    <w:rsid w:val="00FD6F8C"/>
    <w:rsid w:val="00FD729C"/>
    <w:rsid w:val="00FE03CA"/>
    <w:rsid w:val="00FE090C"/>
    <w:rsid w:val="00FE1F35"/>
    <w:rsid w:val="00FE411A"/>
    <w:rsid w:val="00FE595E"/>
    <w:rsid w:val="00FF0247"/>
    <w:rsid w:val="00FF144E"/>
    <w:rsid w:val="00FF45F4"/>
    <w:rsid w:val="00FF56D1"/>
    <w:rsid w:val="00FF75FF"/>
    <w:rsid w:val="00FF770C"/>
    <w:rsid w:val="00FF7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9A30FA"/>
  <w15:docId w15:val="{9A985EE5-D393-0549-B7DB-203D1D03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99"/>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1440"/>
    <w:pPr>
      <w:spacing w:after="180" w:line="271" w:lineRule="auto"/>
    </w:pPr>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84794"/>
    <w:rPr>
      <w:color w:val="0000FF"/>
      <w:u w:val="single"/>
    </w:rPr>
  </w:style>
  <w:style w:type="paragraph" w:styleId="Header">
    <w:name w:val="header"/>
    <w:basedOn w:val="Normal"/>
    <w:link w:val="HeaderChar"/>
    <w:uiPriority w:val="99"/>
    <w:rsid w:val="00CE1440"/>
    <w:pPr>
      <w:tabs>
        <w:tab w:val="center" w:pos="4320"/>
        <w:tab w:val="right" w:pos="8640"/>
      </w:tabs>
    </w:pPr>
  </w:style>
  <w:style w:type="paragraph" w:styleId="Footer">
    <w:name w:val="footer"/>
    <w:basedOn w:val="Normal"/>
    <w:link w:val="FooterChar"/>
    <w:uiPriority w:val="99"/>
    <w:rsid w:val="00CE1440"/>
    <w:pPr>
      <w:tabs>
        <w:tab w:val="center" w:pos="4320"/>
        <w:tab w:val="right" w:pos="8640"/>
      </w:tabs>
    </w:pPr>
  </w:style>
  <w:style w:type="paragraph" w:styleId="BodyText">
    <w:name w:val="Body Text"/>
    <w:basedOn w:val="Normal"/>
    <w:link w:val="BodyTextChar"/>
    <w:uiPriority w:val="99"/>
    <w:rsid w:val="00CE1440"/>
    <w:pPr>
      <w:spacing w:after="240" w:line="240" w:lineRule="auto"/>
    </w:pPr>
    <w:rPr>
      <w:color w:val="auto"/>
      <w:kern w:val="0"/>
      <w:sz w:val="24"/>
      <w:szCs w:val="24"/>
    </w:rPr>
  </w:style>
  <w:style w:type="paragraph" w:styleId="Closing">
    <w:name w:val="Closing"/>
    <w:basedOn w:val="Normal"/>
    <w:rsid w:val="00CE1440"/>
    <w:pPr>
      <w:spacing w:after="1200" w:line="240" w:lineRule="auto"/>
    </w:pPr>
    <w:rPr>
      <w:color w:val="auto"/>
      <w:kern w:val="0"/>
      <w:sz w:val="24"/>
      <w:szCs w:val="24"/>
    </w:rPr>
  </w:style>
  <w:style w:type="paragraph" w:styleId="Date">
    <w:name w:val="Date"/>
    <w:basedOn w:val="Normal"/>
    <w:next w:val="Normal"/>
    <w:rsid w:val="00CE1440"/>
    <w:pPr>
      <w:spacing w:before="480" w:after="480" w:line="240" w:lineRule="auto"/>
    </w:pPr>
    <w:rPr>
      <w:color w:val="auto"/>
      <w:kern w:val="0"/>
      <w:sz w:val="24"/>
      <w:szCs w:val="24"/>
    </w:rPr>
  </w:style>
  <w:style w:type="paragraph" w:customStyle="1" w:styleId="RecipientAddress">
    <w:name w:val="Recipient Address"/>
    <w:basedOn w:val="Normal"/>
    <w:rsid w:val="00CE1440"/>
    <w:pPr>
      <w:spacing w:after="0" w:line="240" w:lineRule="auto"/>
    </w:pPr>
    <w:rPr>
      <w:color w:val="auto"/>
      <w:kern w:val="0"/>
      <w:sz w:val="24"/>
      <w:szCs w:val="24"/>
    </w:rPr>
  </w:style>
  <w:style w:type="paragraph" w:styleId="Salutation">
    <w:name w:val="Salutation"/>
    <w:basedOn w:val="Normal"/>
    <w:next w:val="Normal"/>
    <w:rsid w:val="00CE1440"/>
    <w:pPr>
      <w:spacing w:before="480" w:after="240" w:line="240" w:lineRule="auto"/>
    </w:pPr>
    <w:rPr>
      <w:color w:val="auto"/>
      <w:kern w:val="0"/>
      <w:sz w:val="24"/>
      <w:szCs w:val="24"/>
    </w:rPr>
  </w:style>
  <w:style w:type="paragraph" w:styleId="Signature">
    <w:name w:val="Signature"/>
    <w:basedOn w:val="Normal"/>
    <w:rsid w:val="00CE1440"/>
    <w:pPr>
      <w:spacing w:after="0" w:line="240" w:lineRule="auto"/>
    </w:pPr>
    <w:rPr>
      <w:color w:val="auto"/>
      <w:kern w:val="0"/>
      <w:sz w:val="24"/>
      <w:szCs w:val="24"/>
    </w:rPr>
  </w:style>
  <w:style w:type="paragraph" w:customStyle="1" w:styleId="JobTitle">
    <w:name w:val="Job Title"/>
    <w:next w:val="Normal"/>
    <w:rsid w:val="00CE1440"/>
    <w:pPr>
      <w:spacing w:before="120" w:after="960"/>
    </w:pPr>
    <w:rPr>
      <w:sz w:val="24"/>
      <w:szCs w:val="24"/>
    </w:rPr>
  </w:style>
  <w:style w:type="paragraph" w:styleId="Subtitle">
    <w:name w:val="Subtitle"/>
    <w:basedOn w:val="Normal"/>
    <w:next w:val="Normal"/>
    <w:link w:val="SubtitleChar"/>
    <w:qFormat/>
    <w:rsid w:val="008F085F"/>
    <w:pPr>
      <w:spacing w:after="60"/>
      <w:jc w:val="center"/>
      <w:outlineLvl w:val="1"/>
    </w:pPr>
    <w:rPr>
      <w:rFonts w:ascii="Cambria" w:hAnsi="Cambria"/>
      <w:sz w:val="24"/>
      <w:szCs w:val="24"/>
    </w:rPr>
  </w:style>
  <w:style w:type="character" w:customStyle="1" w:styleId="SubtitleChar">
    <w:name w:val="Subtitle Char"/>
    <w:link w:val="Subtitle"/>
    <w:rsid w:val="008F085F"/>
    <w:rPr>
      <w:rFonts w:ascii="Cambria" w:eastAsia="Times New Roman" w:hAnsi="Cambria" w:cs="Times New Roman"/>
      <w:color w:val="000000"/>
      <w:kern w:val="28"/>
      <w:sz w:val="24"/>
      <w:szCs w:val="24"/>
    </w:rPr>
  </w:style>
  <w:style w:type="paragraph" w:styleId="NoSpacing">
    <w:name w:val="No Spacing"/>
    <w:uiPriority w:val="1"/>
    <w:qFormat/>
    <w:rsid w:val="008F085F"/>
    <w:rPr>
      <w:color w:val="000000"/>
      <w:kern w:val="28"/>
    </w:rPr>
  </w:style>
  <w:style w:type="paragraph" w:styleId="BodyText3">
    <w:name w:val="Body Text 3"/>
    <w:basedOn w:val="Normal"/>
    <w:link w:val="BodyText3Char"/>
    <w:rsid w:val="005520F4"/>
    <w:pPr>
      <w:spacing w:after="0" w:line="240" w:lineRule="auto"/>
      <w:ind w:right="-90"/>
    </w:pPr>
    <w:rPr>
      <w:rFonts w:ascii="Perpetua" w:eastAsia="Times" w:hAnsi="Perpetua"/>
      <w:color w:val="auto"/>
      <w:kern w:val="0"/>
      <w:sz w:val="24"/>
      <w:lang w:val="x-none" w:eastAsia="x-none"/>
    </w:rPr>
  </w:style>
  <w:style w:type="character" w:customStyle="1" w:styleId="BodyText3Char">
    <w:name w:val="Body Text 3 Char"/>
    <w:basedOn w:val="DefaultParagraphFont"/>
    <w:link w:val="BodyText3"/>
    <w:rsid w:val="005520F4"/>
    <w:rPr>
      <w:rFonts w:ascii="Perpetua" w:eastAsia="Times" w:hAnsi="Perpetua"/>
      <w:sz w:val="24"/>
      <w:lang w:val="x-none" w:eastAsia="x-none"/>
    </w:rPr>
  </w:style>
  <w:style w:type="character" w:customStyle="1" w:styleId="BodyTextChar">
    <w:name w:val="Body Text Char"/>
    <w:basedOn w:val="DefaultParagraphFont"/>
    <w:link w:val="BodyText"/>
    <w:uiPriority w:val="99"/>
    <w:rsid w:val="005520F4"/>
    <w:rPr>
      <w:sz w:val="24"/>
      <w:szCs w:val="24"/>
    </w:rPr>
  </w:style>
  <w:style w:type="paragraph" w:styleId="BodyText2">
    <w:name w:val="Body Text 2"/>
    <w:basedOn w:val="Normal"/>
    <w:link w:val="BodyText2Char"/>
    <w:uiPriority w:val="99"/>
    <w:unhideWhenUsed/>
    <w:rsid w:val="005520F4"/>
    <w:pPr>
      <w:spacing w:after="120" w:line="480" w:lineRule="auto"/>
    </w:pPr>
    <w:rPr>
      <w:rFonts w:eastAsia="Cambria"/>
      <w:color w:val="auto"/>
      <w:kern w:val="0"/>
      <w:sz w:val="22"/>
      <w:szCs w:val="24"/>
      <w:lang w:val="x-none" w:eastAsia="x-none"/>
    </w:rPr>
  </w:style>
  <w:style w:type="character" w:customStyle="1" w:styleId="BodyText2Char">
    <w:name w:val="Body Text 2 Char"/>
    <w:basedOn w:val="DefaultParagraphFont"/>
    <w:link w:val="BodyText2"/>
    <w:uiPriority w:val="99"/>
    <w:rsid w:val="005520F4"/>
    <w:rPr>
      <w:rFonts w:eastAsia="Cambria"/>
      <w:sz w:val="22"/>
      <w:szCs w:val="24"/>
      <w:lang w:val="x-none" w:eastAsia="x-none"/>
    </w:rPr>
  </w:style>
  <w:style w:type="character" w:customStyle="1" w:styleId="bodytext0">
    <w:name w:val="bodytext"/>
    <w:basedOn w:val="DefaultParagraphFont"/>
    <w:rsid w:val="005520F4"/>
  </w:style>
  <w:style w:type="character" w:customStyle="1" w:styleId="st">
    <w:name w:val="st"/>
    <w:rsid w:val="005520F4"/>
  </w:style>
  <w:style w:type="paragraph" w:styleId="ListParagraph">
    <w:name w:val="List Paragraph"/>
    <w:basedOn w:val="Normal"/>
    <w:uiPriority w:val="34"/>
    <w:qFormat/>
    <w:rsid w:val="005520F4"/>
    <w:pPr>
      <w:spacing w:after="0" w:line="240" w:lineRule="auto"/>
      <w:ind w:left="720"/>
      <w:contextualSpacing/>
    </w:pPr>
    <w:rPr>
      <w:rFonts w:eastAsia="MS Mincho"/>
      <w:color w:val="auto"/>
      <w:kern w:val="0"/>
      <w:lang w:eastAsia="ja-JP"/>
    </w:rPr>
  </w:style>
  <w:style w:type="character" w:customStyle="1" w:styleId="HeaderChar">
    <w:name w:val="Header Char"/>
    <w:basedOn w:val="DefaultParagraphFont"/>
    <w:link w:val="Header"/>
    <w:uiPriority w:val="99"/>
    <w:rsid w:val="005520F4"/>
    <w:rPr>
      <w:color w:val="000000"/>
      <w:kern w:val="28"/>
    </w:rPr>
  </w:style>
  <w:style w:type="character" w:customStyle="1" w:styleId="FooterChar">
    <w:name w:val="Footer Char"/>
    <w:basedOn w:val="DefaultParagraphFont"/>
    <w:link w:val="Footer"/>
    <w:uiPriority w:val="99"/>
    <w:rsid w:val="005520F4"/>
    <w:rPr>
      <w:color w:val="000000"/>
      <w:kern w:val="28"/>
    </w:rPr>
  </w:style>
  <w:style w:type="paragraph" w:styleId="BalloonText">
    <w:name w:val="Balloon Text"/>
    <w:basedOn w:val="Normal"/>
    <w:link w:val="BalloonTextChar"/>
    <w:uiPriority w:val="99"/>
    <w:unhideWhenUsed/>
    <w:rsid w:val="005520F4"/>
    <w:pPr>
      <w:spacing w:after="0" w:line="240" w:lineRule="auto"/>
    </w:pPr>
    <w:rPr>
      <w:rFonts w:ascii="Lucida Grande" w:eastAsia="MS Mincho" w:hAnsi="Lucida Grande" w:cs="Lucida Grande"/>
      <w:color w:val="auto"/>
      <w:kern w:val="0"/>
      <w:sz w:val="18"/>
      <w:szCs w:val="18"/>
      <w:lang w:eastAsia="ja-JP"/>
    </w:rPr>
  </w:style>
  <w:style w:type="character" w:customStyle="1" w:styleId="BalloonTextChar">
    <w:name w:val="Balloon Text Char"/>
    <w:basedOn w:val="DefaultParagraphFont"/>
    <w:link w:val="BalloonText"/>
    <w:uiPriority w:val="99"/>
    <w:rsid w:val="005520F4"/>
    <w:rPr>
      <w:rFonts w:ascii="Lucida Grande" w:eastAsia="MS Mincho" w:hAnsi="Lucida Grande" w:cs="Lucida Grande"/>
      <w:sz w:val="18"/>
      <w:szCs w:val="18"/>
      <w:lang w:eastAsia="ja-JP"/>
    </w:rPr>
  </w:style>
  <w:style w:type="paragraph" w:customStyle="1" w:styleId="Body">
    <w:name w:val="Body"/>
    <w:rsid w:val="007D28A5"/>
    <w:rPr>
      <w:rFonts w:ascii="Helvetica" w:eastAsia="Arial Unicode MS" w:hAnsi="Arial Unicode MS" w:cs="Arial Unicode MS"/>
      <w:color w:val="000000"/>
      <w:sz w:val="22"/>
      <w:szCs w:val="22"/>
    </w:rPr>
  </w:style>
  <w:style w:type="character" w:styleId="FollowedHyperlink">
    <w:name w:val="FollowedHyperlink"/>
    <w:basedOn w:val="DefaultParagraphFont"/>
    <w:rsid w:val="001E26D1"/>
    <w:rPr>
      <w:color w:val="800080" w:themeColor="followedHyperlink"/>
      <w:u w:val="single"/>
    </w:rPr>
  </w:style>
  <w:style w:type="character" w:styleId="Emphasis">
    <w:name w:val="Emphasis"/>
    <w:basedOn w:val="DefaultParagraphFont"/>
    <w:uiPriority w:val="20"/>
    <w:qFormat/>
    <w:rsid w:val="00CB08A4"/>
    <w:rPr>
      <w:i/>
      <w:iCs/>
    </w:rPr>
  </w:style>
  <w:style w:type="character" w:styleId="Strong">
    <w:name w:val="Strong"/>
    <w:basedOn w:val="DefaultParagraphFont"/>
    <w:uiPriority w:val="22"/>
    <w:qFormat/>
    <w:rsid w:val="00CB08A4"/>
    <w:rPr>
      <w:b/>
      <w:bCs/>
    </w:rPr>
  </w:style>
  <w:style w:type="character" w:styleId="CommentReference">
    <w:name w:val="annotation reference"/>
    <w:basedOn w:val="DefaultParagraphFont"/>
    <w:rsid w:val="008C4014"/>
    <w:rPr>
      <w:sz w:val="16"/>
      <w:szCs w:val="16"/>
    </w:rPr>
  </w:style>
  <w:style w:type="paragraph" w:styleId="CommentText">
    <w:name w:val="annotation text"/>
    <w:basedOn w:val="Normal"/>
    <w:link w:val="CommentTextChar"/>
    <w:rsid w:val="008C4014"/>
    <w:pPr>
      <w:spacing w:line="240" w:lineRule="auto"/>
    </w:pPr>
  </w:style>
  <w:style w:type="character" w:customStyle="1" w:styleId="CommentTextChar">
    <w:name w:val="Comment Text Char"/>
    <w:basedOn w:val="DefaultParagraphFont"/>
    <w:link w:val="CommentText"/>
    <w:rsid w:val="008C4014"/>
    <w:rPr>
      <w:color w:val="000000"/>
      <w:kern w:val="28"/>
    </w:rPr>
  </w:style>
  <w:style w:type="paragraph" w:styleId="CommentSubject">
    <w:name w:val="annotation subject"/>
    <w:basedOn w:val="CommentText"/>
    <w:next w:val="CommentText"/>
    <w:link w:val="CommentSubjectChar"/>
    <w:rsid w:val="008C4014"/>
    <w:rPr>
      <w:b/>
      <w:bCs/>
    </w:rPr>
  </w:style>
  <w:style w:type="character" w:customStyle="1" w:styleId="CommentSubjectChar">
    <w:name w:val="Comment Subject Char"/>
    <w:basedOn w:val="CommentTextChar"/>
    <w:link w:val="CommentSubject"/>
    <w:rsid w:val="008C4014"/>
    <w:rPr>
      <w:b/>
      <w:bCs/>
      <w:color w:val="000000"/>
      <w:kern w:val="28"/>
    </w:rPr>
  </w:style>
  <w:style w:type="paragraph" w:styleId="Revision">
    <w:name w:val="Revision"/>
    <w:hidden/>
    <w:uiPriority w:val="71"/>
    <w:rsid w:val="002D710F"/>
    <w:rPr>
      <w:color w:val="000000"/>
      <w:kern w:val="28"/>
    </w:rPr>
  </w:style>
  <w:style w:type="paragraph" w:styleId="NormalWeb">
    <w:name w:val="Normal (Web)"/>
    <w:basedOn w:val="Normal"/>
    <w:uiPriority w:val="99"/>
    <w:unhideWhenUsed/>
    <w:rsid w:val="00B93F02"/>
    <w:pPr>
      <w:spacing w:before="100" w:beforeAutospacing="1" w:after="100" w:afterAutospacing="1" w:line="240" w:lineRule="auto"/>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57484">
      <w:bodyDiv w:val="1"/>
      <w:marLeft w:val="0"/>
      <w:marRight w:val="0"/>
      <w:marTop w:val="0"/>
      <w:marBottom w:val="0"/>
      <w:divBdr>
        <w:top w:val="none" w:sz="0" w:space="0" w:color="auto"/>
        <w:left w:val="none" w:sz="0" w:space="0" w:color="auto"/>
        <w:bottom w:val="none" w:sz="0" w:space="0" w:color="auto"/>
        <w:right w:val="none" w:sz="0" w:space="0" w:color="auto"/>
      </w:divBdr>
    </w:div>
    <w:div w:id="708142346">
      <w:bodyDiv w:val="1"/>
      <w:marLeft w:val="0"/>
      <w:marRight w:val="0"/>
      <w:marTop w:val="0"/>
      <w:marBottom w:val="0"/>
      <w:divBdr>
        <w:top w:val="none" w:sz="0" w:space="0" w:color="auto"/>
        <w:left w:val="none" w:sz="0" w:space="0" w:color="auto"/>
        <w:bottom w:val="none" w:sz="0" w:space="0" w:color="auto"/>
        <w:right w:val="none" w:sz="0" w:space="0" w:color="auto"/>
      </w:divBdr>
    </w:div>
    <w:div w:id="1138569107">
      <w:bodyDiv w:val="1"/>
      <w:marLeft w:val="0"/>
      <w:marRight w:val="0"/>
      <w:marTop w:val="0"/>
      <w:marBottom w:val="0"/>
      <w:divBdr>
        <w:top w:val="none" w:sz="0" w:space="0" w:color="auto"/>
        <w:left w:val="none" w:sz="0" w:space="0" w:color="auto"/>
        <w:bottom w:val="none" w:sz="0" w:space="0" w:color="auto"/>
        <w:right w:val="none" w:sz="0" w:space="0" w:color="auto"/>
      </w:divBdr>
    </w:div>
    <w:div w:id="2145192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robbins@apog.com" TargetMode="External"/><Relationship Id="rId3" Type="http://schemas.openxmlformats.org/officeDocument/2006/relationships/settings" Target="settings.xml"/><Relationship Id="rId7" Type="http://schemas.openxmlformats.org/officeDocument/2006/relationships/hyperlink" Target="http://apog.com/renovatio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frederick\Local%20Settings\Temporary%20Internet%20Files\OLK5C\Apogee%20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Settings\vfrederick\Local Settings\Temporary Internet Files\OLK5C\Apogee Electronic Letterhead.dot</Template>
  <TotalTime>0</TotalTime>
  <Pages>4</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[Date]:</vt:lpstr>
    </vt:vector>
  </TitlesOfParts>
  <Company>Apogee Services, Inc</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Apogee Services, Inc</dc:creator>
  <cp:lastModifiedBy>Heather West</cp:lastModifiedBy>
  <cp:revision>3</cp:revision>
  <cp:lastPrinted>2019-01-13T19:53:00Z</cp:lastPrinted>
  <dcterms:created xsi:type="dcterms:W3CDTF">2019-01-20T15:31:00Z</dcterms:created>
  <dcterms:modified xsi:type="dcterms:W3CDTF">2019-01-20T15:35:00Z</dcterms:modified>
</cp:coreProperties>
</file>