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E65D" w14:textId="0EE70EA9" w:rsidR="005520F4" w:rsidRPr="00901DF4" w:rsidRDefault="005520F4" w:rsidP="0090198D">
      <w:pPr>
        <w:spacing w:after="0" w:line="240" w:lineRule="auto"/>
        <w:contextualSpacing/>
        <w:rPr>
          <w:rFonts w:ascii="Futura" w:hAnsi="Futura"/>
          <w:color w:val="000000" w:themeColor="text1"/>
          <w:u w:val="single"/>
        </w:rPr>
      </w:pPr>
      <w:r w:rsidRPr="00901DF4">
        <w:rPr>
          <w:i/>
          <w:color w:val="000000" w:themeColor="text1"/>
        </w:rPr>
        <w:t>Media contact:</w:t>
      </w:r>
      <w:r w:rsidRPr="00901DF4">
        <w:rPr>
          <w:i/>
          <w:color w:val="000000" w:themeColor="text1"/>
        </w:rPr>
        <w:tab/>
      </w:r>
      <w:r w:rsidR="00601401" w:rsidRPr="00901DF4">
        <w:rPr>
          <w:i/>
          <w:color w:val="000000" w:themeColor="text1"/>
        </w:rPr>
        <w:tab/>
      </w:r>
      <w:r w:rsidRPr="00901DF4">
        <w:rPr>
          <w:i/>
          <w:color w:val="000000" w:themeColor="text1"/>
        </w:rPr>
        <w:t>Heather West, 612-724-8760, heather@heatherwestpr.com</w:t>
      </w:r>
    </w:p>
    <w:p w14:paraId="6CEE5F7F" w14:textId="77777777" w:rsidR="007D28A5" w:rsidRPr="00901DF4" w:rsidRDefault="007D28A5" w:rsidP="009019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i/>
          <w:color w:val="000000" w:themeColor="text1"/>
          <w:spacing w:val="-6"/>
        </w:rPr>
      </w:pPr>
    </w:p>
    <w:p w14:paraId="5FD29E71" w14:textId="7954A4D7" w:rsidR="00106138" w:rsidRPr="00901DF4" w:rsidRDefault="00106138" w:rsidP="0090198D">
      <w:pPr>
        <w:pStyle w:val="BodyText2"/>
        <w:spacing w:after="0" w:line="240" w:lineRule="auto"/>
        <w:contextualSpacing/>
        <w:rPr>
          <w:rFonts w:ascii="Futura" w:hAnsi="Futura"/>
          <w:color w:val="000000" w:themeColor="text1"/>
          <w:spacing w:val="-6"/>
          <w:sz w:val="30"/>
          <w:szCs w:val="30"/>
        </w:rPr>
      </w:pPr>
      <w:r w:rsidRPr="00901DF4">
        <w:rPr>
          <w:rFonts w:ascii="Futura" w:hAnsi="Futura"/>
          <w:color w:val="000000" w:themeColor="text1"/>
          <w:spacing w:val="-6"/>
          <w:sz w:val="30"/>
        </w:rPr>
        <w:t>Colorado</w:t>
      </w:r>
      <w:r w:rsidRPr="00901DF4">
        <w:rPr>
          <w:rFonts w:ascii="Futura" w:hAnsi="Futura"/>
          <w:color w:val="000000" w:themeColor="text1"/>
          <w:spacing w:val="-6"/>
          <w:sz w:val="30"/>
          <w:szCs w:val="30"/>
        </w:rPr>
        <w:t>’s historic Byron Rogers Federal Building and</w:t>
      </w:r>
      <w:r w:rsidRPr="00901DF4">
        <w:rPr>
          <w:rFonts w:ascii="Futura" w:hAnsi="Futura"/>
          <w:color w:val="000000" w:themeColor="text1"/>
          <w:spacing w:val="-6"/>
          <w:sz w:val="30"/>
          <w:szCs w:val="30"/>
          <w:lang w:val="en-US"/>
        </w:rPr>
        <w:t xml:space="preserve"> U.S. </w:t>
      </w:r>
      <w:r w:rsidRPr="00901DF4">
        <w:rPr>
          <w:rFonts w:ascii="Futura" w:hAnsi="Futura"/>
          <w:color w:val="000000" w:themeColor="text1"/>
          <w:spacing w:val="-6"/>
          <w:sz w:val="30"/>
          <w:szCs w:val="30"/>
        </w:rPr>
        <w:t>Courthouse modernized for security, seismic and sustainability</w:t>
      </w:r>
    </w:p>
    <w:p w14:paraId="01EB789D" w14:textId="77777777" w:rsidR="0072026F" w:rsidRPr="00901DF4" w:rsidRDefault="0072026F" w:rsidP="0090198D">
      <w:pPr>
        <w:spacing w:after="0" w:line="240" w:lineRule="auto"/>
        <w:contextualSpacing/>
        <w:rPr>
          <w:color w:val="000000" w:themeColor="text1"/>
        </w:rPr>
      </w:pPr>
    </w:p>
    <w:p w14:paraId="4968A6EB" w14:textId="4B2C1A0D" w:rsidR="00106138" w:rsidRPr="00901DF4" w:rsidRDefault="00106138" w:rsidP="0090198D">
      <w:pPr>
        <w:spacing w:after="0" w:line="240" w:lineRule="auto"/>
        <w:contextualSpacing/>
        <w:rPr>
          <w:color w:val="000000" w:themeColor="text1"/>
        </w:rPr>
      </w:pPr>
      <w:r w:rsidRPr="00901DF4">
        <w:rPr>
          <w:color w:val="000000" w:themeColor="text1"/>
        </w:rPr>
        <w:t xml:space="preserve">Renovation of Denver’s Byron G. Rogers Federal Office Building and U.S. Courthouse included modernization upgrades to meet current codes, seismic and </w:t>
      </w:r>
      <w:r w:rsidR="00A36C94">
        <w:rPr>
          <w:color w:val="000000" w:themeColor="text1"/>
        </w:rPr>
        <w:t>blast hazard mitigation</w:t>
      </w:r>
      <w:r w:rsidRPr="00901DF4">
        <w:rPr>
          <w:color w:val="000000" w:themeColor="text1"/>
        </w:rPr>
        <w:t xml:space="preserve"> criteria, </w:t>
      </w:r>
      <w:r w:rsidR="00A36C94">
        <w:rPr>
          <w:color w:val="000000" w:themeColor="text1"/>
        </w:rPr>
        <w:t>as well as</w:t>
      </w:r>
      <w:r w:rsidR="00A36C94" w:rsidRPr="00901DF4">
        <w:rPr>
          <w:color w:val="000000" w:themeColor="text1"/>
        </w:rPr>
        <w:t xml:space="preserve"> </w:t>
      </w:r>
      <w:r w:rsidRPr="00901DF4">
        <w:rPr>
          <w:color w:val="000000" w:themeColor="text1"/>
        </w:rPr>
        <w:t>U.S. General Services Administration (GSA) facility requirements for acoustic privacy, security and sustainability. It demonstrated a continued commitment to LEED</w:t>
      </w:r>
      <w:r w:rsidRPr="00901DF4">
        <w:rPr>
          <w:color w:val="000000" w:themeColor="text1"/>
          <w:vertAlign w:val="superscript"/>
        </w:rPr>
        <w:t>®</w:t>
      </w:r>
      <w:r w:rsidRPr="00901DF4">
        <w:rPr>
          <w:color w:val="000000" w:themeColor="text1"/>
        </w:rPr>
        <w:t xml:space="preserve"> Gold certification and earned </w:t>
      </w:r>
      <w:r w:rsidR="00AA6897" w:rsidRPr="00901DF4">
        <w:rPr>
          <w:color w:val="000000" w:themeColor="text1"/>
        </w:rPr>
        <w:t>an</w:t>
      </w:r>
      <w:r w:rsidRPr="00901DF4">
        <w:rPr>
          <w:color w:val="000000" w:themeColor="text1"/>
        </w:rPr>
        <w:t xml:space="preserve"> ENERGY STAR</w:t>
      </w:r>
      <w:r w:rsidRPr="00901DF4">
        <w:rPr>
          <w:color w:val="000000" w:themeColor="text1"/>
          <w:vertAlign w:val="superscript"/>
        </w:rPr>
        <w:t>®</w:t>
      </w:r>
      <w:r w:rsidRPr="00901DF4">
        <w:rPr>
          <w:color w:val="000000" w:themeColor="text1"/>
        </w:rPr>
        <w:t xml:space="preserve"> Rating of 99. </w:t>
      </w:r>
    </w:p>
    <w:p w14:paraId="4ED8740A" w14:textId="77777777" w:rsidR="00106138" w:rsidRPr="00901DF4" w:rsidRDefault="00106138" w:rsidP="0090198D">
      <w:pPr>
        <w:spacing w:after="0" w:line="240" w:lineRule="auto"/>
        <w:contextualSpacing/>
        <w:rPr>
          <w:color w:val="000000" w:themeColor="text1"/>
        </w:rPr>
      </w:pPr>
    </w:p>
    <w:p w14:paraId="60E893CC" w14:textId="75F0503E" w:rsidR="00106138" w:rsidRPr="00901DF4" w:rsidRDefault="00106138" w:rsidP="0090198D">
      <w:pPr>
        <w:spacing w:after="0" w:line="240" w:lineRule="auto"/>
        <w:contextualSpacing/>
        <w:rPr>
          <w:color w:val="000000" w:themeColor="text1"/>
        </w:rPr>
      </w:pPr>
      <w:r w:rsidRPr="00901DF4">
        <w:rPr>
          <w:color w:val="000000" w:themeColor="text1"/>
        </w:rPr>
        <w:t>The scope of this design-build project’s deep energy retrofit involved replacing all of the existing exterior windows on both the federal office and the courthouse buildings with high-performance units manufactured by Wausau Window and Wall Systems. Viracon’s glass and aluminum framing finished by Linetec</w:t>
      </w:r>
      <w:r w:rsidR="00E27EB5">
        <w:rPr>
          <w:color w:val="000000" w:themeColor="text1"/>
        </w:rPr>
        <w:t xml:space="preserve"> were featured</w:t>
      </w:r>
      <w:r w:rsidRPr="00901DF4">
        <w:rPr>
          <w:color w:val="000000" w:themeColor="text1"/>
        </w:rPr>
        <w:t>. The window systems were installed by Harmon, Inc. These companies, and the Apogee Renovation team, are all part of Apogee Enterprises, Inc.</w:t>
      </w:r>
    </w:p>
    <w:p w14:paraId="557AF617" w14:textId="77777777" w:rsidR="00106138" w:rsidRPr="00901DF4" w:rsidRDefault="00106138" w:rsidP="0090198D">
      <w:pPr>
        <w:spacing w:after="0" w:line="240" w:lineRule="auto"/>
        <w:contextualSpacing/>
        <w:rPr>
          <w:color w:val="000000" w:themeColor="text1"/>
        </w:rPr>
      </w:pPr>
    </w:p>
    <w:p w14:paraId="693FA94B" w14:textId="1F434D77" w:rsidR="00106138" w:rsidRPr="00901DF4" w:rsidRDefault="00106138" w:rsidP="0090198D">
      <w:pPr>
        <w:spacing w:after="0" w:line="240" w:lineRule="auto"/>
        <w:contextualSpacing/>
        <w:rPr>
          <w:color w:val="000000" w:themeColor="text1"/>
        </w:rPr>
      </w:pPr>
      <w:r w:rsidRPr="00901DF4">
        <w:rPr>
          <w:color w:val="000000" w:themeColor="text1"/>
        </w:rPr>
        <w:t xml:space="preserve">“Daylighting increased approximately 25 percent from the existing condition” reported the GSA, the building’s owners and one of the largest property owners in the country. It noted, “The improvements are expected to create 55 percent overall energy reduction in the federal </w:t>
      </w:r>
      <w:r w:rsidR="00E27EB5">
        <w:rPr>
          <w:color w:val="000000" w:themeColor="text1"/>
        </w:rPr>
        <w:t>office</w:t>
      </w:r>
      <w:r w:rsidRPr="00901DF4">
        <w:rPr>
          <w:color w:val="000000" w:themeColor="text1"/>
        </w:rPr>
        <w:t>. That means GSA will reduce its greenhouse gas emissions by more than 2908 tons of CO</w:t>
      </w:r>
      <w:r w:rsidRPr="00901DF4">
        <w:rPr>
          <w:color w:val="000000" w:themeColor="text1"/>
          <w:vertAlign w:val="subscript"/>
        </w:rPr>
        <w:t>2</w:t>
      </w:r>
      <w:r w:rsidRPr="00901DF4">
        <w:rPr>
          <w:color w:val="000000" w:themeColor="text1"/>
        </w:rPr>
        <w:t>, which is the equivalent of taking 612 cars off the road or providing energy to 266 average sized homes.”</w:t>
      </w:r>
    </w:p>
    <w:p w14:paraId="43792172" w14:textId="77777777" w:rsidR="00106138" w:rsidRPr="00901DF4" w:rsidRDefault="00106138" w:rsidP="0090198D">
      <w:pPr>
        <w:spacing w:after="0" w:line="240" w:lineRule="auto"/>
        <w:contextualSpacing/>
        <w:rPr>
          <w:color w:val="000000" w:themeColor="text1"/>
        </w:rPr>
      </w:pPr>
    </w:p>
    <w:p w14:paraId="1904DC25" w14:textId="77777777" w:rsidR="00106138" w:rsidRPr="00901DF4" w:rsidRDefault="00106138" w:rsidP="0090198D">
      <w:pPr>
        <w:spacing w:after="0" w:line="240" w:lineRule="auto"/>
        <w:contextualSpacing/>
        <w:rPr>
          <w:rFonts w:ascii="Futura Medium" w:hAnsi="Futura Medium" w:cs="Futura Medium"/>
          <w:b/>
          <w:i/>
          <w:color w:val="000000" w:themeColor="text1"/>
        </w:rPr>
      </w:pPr>
      <w:r w:rsidRPr="00901DF4">
        <w:rPr>
          <w:rFonts w:ascii="Futura Medium" w:hAnsi="Futura Medium" w:cs="Futura Medium" w:hint="cs"/>
          <w:b/>
          <w:i/>
          <w:color w:val="000000" w:themeColor="text1"/>
        </w:rPr>
        <w:t>Connecting Community and History</w:t>
      </w:r>
    </w:p>
    <w:p w14:paraId="097A1A6C" w14:textId="77777777" w:rsidR="00106138" w:rsidRPr="00901DF4" w:rsidRDefault="00106138" w:rsidP="0090198D">
      <w:pPr>
        <w:spacing w:after="0" w:line="240" w:lineRule="auto"/>
        <w:contextualSpacing/>
        <w:rPr>
          <w:color w:val="000000" w:themeColor="text1"/>
        </w:rPr>
      </w:pPr>
      <w:r w:rsidRPr="00901DF4">
        <w:rPr>
          <w:color w:val="000000" w:themeColor="text1"/>
        </w:rPr>
        <w:t>Originally designed by James Sudler Associates and Fisher &amp; Davis, the 620,000-square-foot complex was constructed between 1962 and 1966. The 18-story office tower now houses 11 federal agencies and sits perpendicular to the five-story courthouse to frame an open plaza.</w:t>
      </w:r>
    </w:p>
    <w:p w14:paraId="2C544547" w14:textId="77777777" w:rsidR="00106138" w:rsidRPr="00901DF4" w:rsidRDefault="00106138" w:rsidP="0090198D">
      <w:pPr>
        <w:spacing w:after="0" w:line="240" w:lineRule="auto"/>
        <w:contextualSpacing/>
        <w:rPr>
          <w:color w:val="000000" w:themeColor="text1"/>
        </w:rPr>
      </w:pPr>
    </w:p>
    <w:p w14:paraId="37F2766E" w14:textId="77777777" w:rsidR="00106138" w:rsidRPr="00901DF4" w:rsidRDefault="00106138" w:rsidP="0090198D">
      <w:pPr>
        <w:spacing w:after="0" w:line="240" w:lineRule="auto"/>
        <w:contextualSpacing/>
        <w:rPr>
          <w:color w:val="000000" w:themeColor="text1"/>
        </w:rPr>
      </w:pPr>
      <w:r w:rsidRPr="00901DF4">
        <w:rPr>
          <w:color w:val="000000" w:themeColor="text1"/>
        </w:rPr>
        <w:t>Renovation of the courthouse was completed in 2006 and the office building followed in 2013. The project cost approximately $160 million, $147 million of which was funded through the American Recovery and Reinvestment Act. Today, the property is the cornerstone of the Denver Federal District and its renovation helped revitalize the eastern edge of the downtown central business district.</w:t>
      </w:r>
    </w:p>
    <w:p w14:paraId="6BB6384B" w14:textId="77777777" w:rsidR="00106138" w:rsidRPr="00901DF4" w:rsidRDefault="00106138" w:rsidP="0090198D">
      <w:pPr>
        <w:spacing w:after="0" w:line="240" w:lineRule="auto"/>
        <w:contextualSpacing/>
        <w:rPr>
          <w:color w:val="000000" w:themeColor="text1"/>
        </w:rPr>
      </w:pPr>
    </w:p>
    <w:p w14:paraId="489A8962" w14:textId="77777777" w:rsidR="00106138" w:rsidRPr="00901DF4" w:rsidRDefault="00106138" w:rsidP="0090198D">
      <w:pPr>
        <w:spacing w:after="0" w:line="240" w:lineRule="auto"/>
        <w:contextualSpacing/>
        <w:rPr>
          <w:color w:val="000000" w:themeColor="text1"/>
        </w:rPr>
      </w:pPr>
      <w:r w:rsidRPr="00901DF4">
        <w:rPr>
          <w:color w:val="000000" w:themeColor="text1"/>
        </w:rPr>
        <w:t>Along with maintaining its significant role in the community, the renovation of this historic building retained its legacy of Modern Formalist architecture. The Byron Rogers Federal Building was listed on the National Register of Historic Places in Oct. 2016. Its nomination was highly rated by both the GSA and the State Historic Preservation Office.</w:t>
      </w:r>
    </w:p>
    <w:p w14:paraId="5D13F283" w14:textId="77777777" w:rsidR="00106138" w:rsidRPr="00901DF4" w:rsidRDefault="00106138" w:rsidP="0090198D">
      <w:pPr>
        <w:spacing w:after="0" w:line="240" w:lineRule="auto"/>
        <w:contextualSpacing/>
        <w:rPr>
          <w:b/>
          <w:i/>
          <w:color w:val="000000" w:themeColor="text1"/>
        </w:rPr>
      </w:pPr>
    </w:p>
    <w:p w14:paraId="614B6221" w14:textId="77777777" w:rsidR="00106138" w:rsidRPr="00901DF4" w:rsidRDefault="00106138" w:rsidP="0090198D">
      <w:pPr>
        <w:spacing w:after="0" w:line="240" w:lineRule="auto"/>
        <w:contextualSpacing/>
        <w:rPr>
          <w:rFonts w:ascii="Futura Medium" w:hAnsi="Futura Medium" w:cs="Futura Medium"/>
          <w:b/>
          <w:i/>
          <w:color w:val="000000" w:themeColor="text1"/>
        </w:rPr>
      </w:pPr>
      <w:r w:rsidRPr="00901DF4">
        <w:rPr>
          <w:rFonts w:ascii="Futura Medium" w:hAnsi="Futura Medium" w:cs="Futura Medium" w:hint="cs"/>
          <w:b/>
          <w:i/>
          <w:color w:val="000000" w:themeColor="text1"/>
        </w:rPr>
        <w:t>Improving Performance and Energy Efficiency</w:t>
      </w:r>
    </w:p>
    <w:p w14:paraId="42E1330D" w14:textId="2576B147" w:rsidR="00106138" w:rsidRPr="00901DF4" w:rsidRDefault="00106138" w:rsidP="0090198D">
      <w:pPr>
        <w:spacing w:after="0" w:line="240" w:lineRule="auto"/>
        <w:contextualSpacing/>
        <w:rPr>
          <w:color w:val="000000" w:themeColor="text1"/>
        </w:rPr>
      </w:pPr>
      <w:r w:rsidRPr="00901DF4">
        <w:rPr>
          <w:color w:val="000000" w:themeColor="text1"/>
        </w:rPr>
        <w:t xml:space="preserve">Preserving the appearance while improving the performance and </w:t>
      </w:r>
      <w:r w:rsidR="00AA6897" w:rsidRPr="00901DF4">
        <w:rPr>
          <w:color w:val="000000" w:themeColor="text1"/>
        </w:rPr>
        <w:t>daylighting</w:t>
      </w:r>
      <w:r w:rsidRPr="00901DF4">
        <w:rPr>
          <w:color w:val="000000" w:themeColor="text1"/>
        </w:rPr>
        <w:t xml:space="preserve">, Wausau Window and Wall Systems provided more than 1,600 blast hazard-mitigating BHM Series windows plus </w:t>
      </w:r>
      <w:r w:rsidR="00D25914">
        <w:rPr>
          <w:color w:val="000000" w:themeColor="text1"/>
        </w:rPr>
        <w:t xml:space="preserve">a </w:t>
      </w:r>
      <w:r w:rsidRPr="00901DF4">
        <w:rPr>
          <w:color w:val="000000" w:themeColor="text1"/>
        </w:rPr>
        <w:t>high-performance SuperWall</w:t>
      </w:r>
      <w:r w:rsidRPr="00901DF4">
        <w:rPr>
          <w:color w:val="000000" w:themeColor="text1"/>
          <w:vertAlign w:val="superscript"/>
        </w:rPr>
        <w:t>™</w:t>
      </w:r>
      <w:r w:rsidRPr="00901DF4">
        <w:rPr>
          <w:color w:val="000000" w:themeColor="text1"/>
        </w:rPr>
        <w:t xml:space="preserve"> </w:t>
      </w:r>
      <w:r w:rsidR="00D25914">
        <w:rPr>
          <w:color w:val="000000" w:themeColor="text1"/>
        </w:rPr>
        <w:t xml:space="preserve">curtainwall </w:t>
      </w:r>
      <w:r w:rsidRPr="00901DF4">
        <w:rPr>
          <w:color w:val="000000" w:themeColor="text1"/>
        </w:rPr>
        <w:t>system and custom ClearStory</w:t>
      </w:r>
      <w:r w:rsidRPr="00901DF4">
        <w:rPr>
          <w:color w:val="000000" w:themeColor="text1"/>
          <w:vertAlign w:val="superscript"/>
        </w:rPr>
        <w:t>™</w:t>
      </w:r>
      <w:r w:rsidRPr="00901DF4">
        <w:rPr>
          <w:color w:val="000000" w:themeColor="text1"/>
        </w:rPr>
        <w:t xml:space="preserve"> interior light shelves on the 494,</w:t>
      </w:r>
      <w:r w:rsidR="00E27EB5" w:rsidRPr="00901DF4" w:rsidDel="00E27EB5">
        <w:rPr>
          <w:color w:val="000000" w:themeColor="text1"/>
        </w:rPr>
        <w:t xml:space="preserve"> </w:t>
      </w:r>
      <w:r w:rsidR="00E27EB5">
        <w:rPr>
          <w:color w:val="000000" w:themeColor="text1"/>
        </w:rPr>
        <w:t>000</w:t>
      </w:r>
      <w:r w:rsidRPr="00901DF4">
        <w:rPr>
          <w:color w:val="000000" w:themeColor="text1"/>
        </w:rPr>
        <w:t>-square-foot federal office building.</w:t>
      </w:r>
    </w:p>
    <w:p w14:paraId="54705DD3" w14:textId="77777777" w:rsidR="00106138" w:rsidRPr="00901DF4" w:rsidRDefault="00106138" w:rsidP="0090198D">
      <w:pPr>
        <w:spacing w:after="0" w:line="240" w:lineRule="auto"/>
        <w:contextualSpacing/>
        <w:rPr>
          <w:color w:val="000000" w:themeColor="text1"/>
        </w:rPr>
      </w:pPr>
    </w:p>
    <w:p w14:paraId="212E4958" w14:textId="04DDCB48" w:rsidR="00106138" w:rsidRPr="00901DF4" w:rsidRDefault="00106138" w:rsidP="0090198D">
      <w:pPr>
        <w:spacing w:after="0" w:line="240" w:lineRule="auto"/>
        <w:contextualSpacing/>
        <w:rPr>
          <w:color w:val="000000" w:themeColor="text1"/>
        </w:rPr>
      </w:pPr>
      <w:r w:rsidRPr="00901DF4">
        <w:rPr>
          <w:color w:val="000000" w:themeColor="text1"/>
        </w:rPr>
        <w:t xml:space="preserve">In addition to Harmon and Wausau, Byron Rogers Federal Building’s design-build team included: Mortenson Construction as design-builder, HOK as the design architect, Bennett Wagner &amp; Grody Architects as architect of record, Martin/Martin, Inc. as the structural engineer and blast consultant, and </w:t>
      </w:r>
      <w:bookmarkStart w:id="0" w:name="_GoBack"/>
      <w:r w:rsidRPr="00901DF4">
        <w:rPr>
          <w:color w:val="000000" w:themeColor="text1"/>
        </w:rPr>
        <w:t>Rocky</w:t>
      </w:r>
      <w:bookmarkEnd w:id="0"/>
      <w:r w:rsidRPr="00901DF4">
        <w:rPr>
          <w:color w:val="000000" w:themeColor="text1"/>
        </w:rPr>
        <w:t xml:space="preserve"> Mountain Institute as high-performance green building consultant.</w:t>
      </w:r>
      <w:r w:rsidR="00E27EB5">
        <w:rPr>
          <w:color w:val="000000" w:themeColor="text1"/>
        </w:rPr>
        <w:t xml:space="preserve"> </w:t>
      </w:r>
      <w:r w:rsidRPr="00901DF4">
        <w:rPr>
          <w:color w:val="000000" w:themeColor="text1"/>
        </w:rPr>
        <w:t xml:space="preserve">The design-build team worked </w:t>
      </w:r>
      <w:r w:rsidRPr="00901DF4">
        <w:rPr>
          <w:color w:val="000000" w:themeColor="text1"/>
        </w:rPr>
        <w:lastRenderedPageBreak/>
        <w:t xml:space="preserve">with GSA to find ways to generate a design model targeting an aggressive goal of 27-30 kBtu per square foot per year. Using </w:t>
      </w:r>
      <w:r w:rsidR="00E27EB5">
        <w:rPr>
          <w:color w:val="000000" w:themeColor="text1"/>
        </w:rPr>
        <w:t>iterative</w:t>
      </w:r>
      <w:r w:rsidR="00E27EB5" w:rsidRPr="00901DF4">
        <w:rPr>
          <w:color w:val="000000" w:themeColor="text1"/>
        </w:rPr>
        <w:t xml:space="preserve"> </w:t>
      </w:r>
      <w:r w:rsidRPr="00901DF4">
        <w:rPr>
          <w:color w:val="000000" w:themeColor="text1"/>
        </w:rPr>
        <w:t>whole building energy modeling that compared various combinations of efficiency measures, predicted hourly energy use and annual energy costs, led the team to a realistic evaluation of various alternatives.</w:t>
      </w:r>
    </w:p>
    <w:p w14:paraId="07C0788F" w14:textId="77777777" w:rsidR="00106138" w:rsidRPr="00901DF4" w:rsidRDefault="00106138" w:rsidP="0090198D">
      <w:pPr>
        <w:spacing w:after="0" w:line="240" w:lineRule="auto"/>
        <w:contextualSpacing/>
        <w:rPr>
          <w:color w:val="000000" w:themeColor="text1"/>
        </w:rPr>
      </w:pPr>
    </w:p>
    <w:p w14:paraId="0195B16D" w14:textId="6469FC99" w:rsidR="00106138" w:rsidRPr="00901DF4" w:rsidRDefault="00784724" w:rsidP="0090198D">
      <w:pPr>
        <w:spacing w:after="0" w:line="240" w:lineRule="auto"/>
        <w:contextualSpacing/>
        <w:rPr>
          <w:color w:val="000000" w:themeColor="text1"/>
        </w:rPr>
      </w:pPr>
      <w:r>
        <w:rPr>
          <w:color w:val="000000" w:themeColor="text1"/>
        </w:rPr>
        <w:t xml:space="preserve">According to the </w:t>
      </w:r>
      <w:r w:rsidRPr="00901DF4">
        <w:rPr>
          <w:color w:val="000000" w:themeColor="text1"/>
        </w:rPr>
        <w:t>Rocky Mountain Institute</w:t>
      </w:r>
      <w:r>
        <w:rPr>
          <w:color w:val="000000" w:themeColor="text1"/>
        </w:rPr>
        <w:t>,</w:t>
      </w:r>
      <w:r w:rsidR="00106138" w:rsidRPr="00901DF4">
        <w:rPr>
          <w:color w:val="000000" w:themeColor="text1"/>
        </w:rPr>
        <w:t xml:space="preserve"> </w:t>
      </w:r>
      <w:r>
        <w:rPr>
          <w:color w:val="000000" w:themeColor="text1"/>
        </w:rPr>
        <w:t xml:space="preserve">55 percent </w:t>
      </w:r>
      <w:r w:rsidR="00106138" w:rsidRPr="00901DF4">
        <w:rPr>
          <w:color w:val="000000" w:themeColor="text1"/>
        </w:rPr>
        <w:t xml:space="preserve">building energy use savings </w:t>
      </w:r>
      <w:r w:rsidR="00E27EB5">
        <w:rPr>
          <w:color w:val="000000" w:themeColor="text1"/>
        </w:rPr>
        <w:t xml:space="preserve">is expected </w:t>
      </w:r>
      <w:r w:rsidR="00106138" w:rsidRPr="00901DF4">
        <w:rPr>
          <w:color w:val="000000" w:themeColor="text1"/>
        </w:rPr>
        <w:t>when compared to ASHRAE 90.1 2007, which equates to approximately $500,000 per year in savings</w:t>
      </w:r>
      <w:r>
        <w:rPr>
          <w:color w:val="000000" w:themeColor="text1"/>
        </w:rPr>
        <w:t>. C</w:t>
      </w:r>
      <w:r w:rsidR="00106138" w:rsidRPr="00901DF4">
        <w:rPr>
          <w:color w:val="000000" w:themeColor="text1"/>
        </w:rPr>
        <w:t>alling the building “a model of how deep energy retrofits can create more efficient, financially valuable and more productive workspaces</w:t>
      </w:r>
      <w:r>
        <w:rPr>
          <w:color w:val="000000" w:themeColor="text1"/>
        </w:rPr>
        <w:t>,</w:t>
      </w:r>
      <w:r w:rsidR="00106138" w:rsidRPr="00901DF4">
        <w:rPr>
          <w:color w:val="000000" w:themeColor="text1"/>
        </w:rPr>
        <w:t>”</w:t>
      </w:r>
      <w:r>
        <w:rPr>
          <w:color w:val="000000" w:themeColor="text1"/>
        </w:rPr>
        <w:t xml:space="preserve"> the </w:t>
      </w:r>
      <w:r w:rsidR="00106138" w:rsidRPr="00901DF4">
        <w:rPr>
          <w:color w:val="000000" w:themeColor="text1"/>
        </w:rPr>
        <w:t>Rocky Mountain Institute explained that the windows were selected “to maximize the amount of visible light and insulative properties and to minimize solar heat gain. The exterior window must also meet federal blast requirements, and maintain its original gray color to meet historic preservation requirements.”</w:t>
      </w:r>
    </w:p>
    <w:p w14:paraId="148E8F6F" w14:textId="77777777" w:rsidR="00106138" w:rsidRPr="00901DF4" w:rsidRDefault="00106138" w:rsidP="0090198D">
      <w:pPr>
        <w:spacing w:after="0" w:line="240" w:lineRule="auto"/>
        <w:contextualSpacing/>
        <w:rPr>
          <w:color w:val="000000" w:themeColor="text1"/>
        </w:rPr>
      </w:pPr>
    </w:p>
    <w:p w14:paraId="3C21480D" w14:textId="77777777" w:rsidR="00106138" w:rsidRPr="00901DF4" w:rsidRDefault="00106138" w:rsidP="0090198D">
      <w:pPr>
        <w:spacing w:after="0" w:line="240" w:lineRule="auto"/>
        <w:contextualSpacing/>
        <w:rPr>
          <w:rFonts w:ascii="Futura Medium" w:hAnsi="Futura Medium" w:cs="Futura Medium"/>
          <w:b/>
          <w:i/>
          <w:color w:val="000000" w:themeColor="text1"/>
        </w:rPr>
      </w:pPr>
      <w:r w:rsidRPr="00901DF4">
        <w:rPr>
          <w:rFonts w:ascii="Futura Medium" w:hAnsi="Futura Medium" w:cs="Futura Medium" w:hint="cs"/>
          <w:b/>
          <w:i/>
          <w:color w:val="000000" w:themeColor="text1"/>
        </w:rPr>
        <w:t>Collaborative Construction, Custom Solutions</w:t>
      </w:r>
    </w:p>
    <w:p w14:paraId="21E8EBED" w14:textId="77777777" w:rsidR="00106138" w:rsidRPr="00901DF4" w:rsidRDefault="00106138" w:rsidP="0090198D">
      <w:pPr>
        <w:spacing w:after="0" w:line="240" w:lineRule="auto"/>
        <w:contextualSpacing/>
        <w:rPr>
          <w:color w:val="000000" w:themeColor="text1"/>
        </w:rPr>
      </w:pPr>
      <w:r w:rsidRPr="00901DF4">
        <w:rPr>
          <w:color w:val="000000" w:themeColor="text1"/>
        </w:rPr>
        <w:t>Bryon Rogers Federal Building’s historic renovation necessitated that the exterior window frames and existing precast remained intact. Working from inside the occupied buildings, Harmon carefully replaced the windows with double- and triple-glazed units. On the lower floors of the courthouse, Harmon also field-glazed a custom curtainwall system from Wausau.</w:t>
      </w:r>
    </w:p>
    <w:p w14:paraId="7FAFAD93" w14:textId="77777777" w:rsidR="00106138" w:rsidRPr="00901DF4" w:rsidRDefault="00106138" w:rsidP="0090198D">
      <w:pPr>
        <w:spacing w:after="0" w:line="240" w:lineRule="auto"/>
        <w:contextualSpacing/>
        <w:rPr>
          <w:color w:val="000000" w:themeColor="text1"/>
        </w:rPr>
      </w:pPr>
    </w:p>
    <w:p w14:paraId="11A2CF60" w14:textId="2DC3065B" w:rsidR="00106138" w:rsidRPr="00901DF4" w:rsidRDefault="00AA6897" w:rsidP="0090198D">
      <w:pPr>
        <w:spacing w:after="0" w:line="240" w:lineRule="auto"/>
        <w:contextualSpacing/>
        <w:rPr>
          <w:color w:val="000000" w:themeColor="text1"/>
        </w:rPr>
      </w:pPr>
      <w:r w:rsidRPr="00901DF4">
        <w:rPr>
          <w:color w:val="000000" w:themeColor="text1"/>
        </w:rPr>
        <w:t xml:space="preserve">Harmon’s senior project manager, Steve Sauerbreit said, “The project was a success due to the collaborative efforts by the entire design and construction team.” </w:t>
      </w:r>
    </w:p>
    <w:p w14:paraId="2DFA49CD" w14:textId="77777777" w:rsidR="00106138" w:rsidRPr="00901DF4" w:rsidRDefault="00106138" w:rsidP="0090198D">
      <w:pPr>
        <w:spacing w:after="0" w:line="240" w:lineRule="auto"/>
        <w:contextualSpacing/>
        <w:rPr>
          <w:color w:val="000000" w:themeColor="text1"/>
        </w:rPr>
      </w:pPr>
    </w:p>
    <w:p w14:paraId="75EE1297" w14:textId="77777777" w:rsidR="00106138" w:rsidRPr="00901DF4" w:rsidRDefault="00106138" w:rsidP="0090198D">
      <w:pPr>
        <w:spacing w:after="0" w:line="240" w:lineRule="auto"/>
        <w:contextualSpacing/>
        <w:rPr>
          <w:color w:val="000000" w:themeColor="text1"/>
        </w:rPr>
      </w:pPr>
      <w:r w:rsidRPr="00901DF4">
        <w:rPr>
          <w:color w:val="000000" w:themeColor="text1"/>
        </w:rPr>
        <w:t>Mortenson and Harmon enjoy a long-term relationship and have collaborated on dozens of other projects, several of which use Wausau’s windows and curtainwall systems. Wausau also has contributed to other HOK-designed projects including the AIA award-winning Alfred A. Arraj U.S. District Courthouse Annex, which also is part of the Denver Federal District.</w:t>
      </w:r>
    </w:p>
    <w:p w14:paraId="494C11E2" w14:textId="77777777" w:rsidR="00106138" w:rsidRPr="00901DF4" w:rsidRDefault="00106138" w:rsidP="0090198D">
      <w:pPr>
        <w:spacing w:after="0" w:line="240" w:lineRule="auto"/>
        <w:contextualSpacing/>
        <w:rPr>
          <w:color w:val="000000" w:themeColor="text1"/>
        </w:rPr>
      </w:pPr>
    </w:p>
    <w:p w14:paraId="6570EB4A" w14:textId="362E3794" w:rsidR="00743818" w:rsidRPr="00901DF4" w:rsidRDefault="00B408A1" w:rsidP="0090198D">
      <w:pPr>
        <w:spacing w:after="0" w:line="240" w:lineRule="auto"/>
        <w:contextualSpacing/>
        <w:rPr>
          <w:color w:val="000000" w:themeColor="text1"/>
          <w:szCs w:val="22"/>
        </w:rPr>
      </w:pPr>
      <w:r w:rsidRPr="00901DF4">
        <w:rPr>
          <w:color w:val="000000" w:themeColor="text1"/>
        </w:rPr>
        <w:t>On an angular footprint within t</w:t>
      </w:r>
      <w:r w:rsidR="00106138" w:rsidRPr="00901DF4">
        <w:rPr>
          <w:color w:val="000000" w:themeColor="text1"/>
        </w:rPr>
        <w:t>he Denver Federal District</w:t>
      </w:r>
      <w:r w:rsidRPr="00901DF4">
        <w:rPr>
          <w:color w:val="000000" w:themeColor="text1"/>
        </w:rPr>
        <w:t>,</w:t>
      </w:r>
      <w:r w:rsidR="00106138" w:rsidRPr="00901DF4">
        <w:rPr>
          <w:color w:val="000000" w:themeColor="text1"/>
        </w:rPr>
        <w:t xml:space="preserve"> </w:t>
      </w:r>
      <w:r w:rsidRPr="00901DF4">
        <w:rPr>
          <w:color w:val="000000" w:themeColor="text1"/>
        </w:rPr>
        <w:t xml:space="preserve">the </w:t>
      </w:r>
      <w:r w:rsidR="00106138" w:rsidRPr="00901DF4">
        <w:rPr>
          <w:color w:val="000000" w:themeColor="text1"/>
        </w:rPr>
        <w:t>Byron Rogers</w:t>
      </w:r>
      <w:r w:rsidRPr="00901DF4">
        <w:rPr>
          <w:color w:val="000000" w:themeColor="text1"/>
        </w:rPr>
        <w:t xml:space="preserve"> federal </w:t>
      </w:r>
      <w:r w:rsidR="00106138" w:rsidRPr="00901DF4">
        <w:rPr>
          <w:color w:val="000000" w:themeColor="text1"/>
        </w:rPr>
        <w:t>office tower</w:t>
      </w:r>
      <w:r w:rsidRPr="00901DF4">
        <w:rPr>
          <w:color w:val="000000" w:themeColor="text1"/>
        </w:rPr>
        <w:t>’s u</w:t>
      </w:r>
      <w:r w:rsidR="00106138" w:rsidRPr="00901DF4">
        <w:rPr>
          <w:color w:val="000000" w:themeColor="text1"/>
        </w:rPr>
        <w:t xml:space="preserve">pper stories exhibit an alternating rhythm of beige pre-cast concrete panels and projecting windows. </w:t>
      </w:r>
      <w:r w:rsidR="00447C65" w:rsidRPr="00901DF4">
        <w:rPr>
          <w:color w:val="000000" w:themeColor="text1"/>
          <w:szCs w:val="22"/>
        </w:rPr>
        <w:t xml:space="preserve">The existing exterior windows </w:t>
      </w:r>
      <w:r w:rsidR="000431CC" w:rsidRPr="00901DF4">
        <w:rPr>
          <w:color w:val="000000" w:themeColor="text1"/>
          <w:szCs w:val="22"/>
        </w:rPr>
        <w:t xml:space="preserve">on these top floors </w:t>
      </w:r>
      <w:r w:rsidR="00447C65" w:rsidRPr="00901DF4">
        <w:rPr>
          <w:color w:val="000000" w:themeColor="text1"/>
          <w:szCs w:val="22"/>
        </w:rPr>
        <w:t xml:space="preserve">were re-glazed in the field by Harmon using new, </w:t>
      </w:r>
      <w:r w:rsidR="00F15AA8" w:rsidRPr="00901DF4">
        <w:rPr>
          <w:color w:val="000000" w:themeColor="text1"/>
          <w:szCs w:val="22"/>
        </w:rPr>
        <w:t>insulat</w:t>
      </w:r>
      <w:r w:rsidR="00F15AA8">
        <w:rPr>
          <w:color w:val="000000" w:themeColor="text1"/>
          <w:szCs w:val="22"/>
        </w:rPr>
        <w:t>ing</w:t>
      </w:r>
      <w:r w:rsidR="00F15AA8" w:rsidRPr="00901DF4">
        <w:rPr>
          <w:color w:val="000000" w:themeColor="text1"/>
          <w:szCs w:val="22"/>
        </w:rPr>
        <w:t xml:space="preserve"> </w:t>
      </w:r>
      <w:r w:rsidR="00447C65" w:rsidRPr="00901DF4">
        <w:rPr>
          <w:color w:val="000000" w:themeColor="text1"/>
          <w:szCs w:val="22"/>
        </w:rPr>
        <w:t xml:space="preserve">glass </w:t>
      </w:r>
      <w:r w:rsidR="000431CC" w:rsidRPr="00901DF4">
        <w:rPr>
          <w:color w:val="000000" w:themeColor="text1"/>
          <w:szCs w:val="22"/>
        </w:rPr>
        <w:t xml:space="preserve">units (IGUs) </w:t>
      </w:r>
      <w:r w:rsidR="00447C65" w:rsidRPr="00901DF4">
        <w:rPr>
          <w:color w:val="000000" w:themeColor="text1"/>
          <w:szCs w:val="22"/>
        </w:rPr>
        <w:t xml:space="preserve">to preserve the historical profile and improve thermal performance. </w:t>
      </w:r>
      <w:r w:rsidR="000431CC" w:rsidRPr="00901DF4">
        <w:rPr>
          <w:color w:val="000000" w:themeColor="text1"/>
          <w:szCs w:val="22"/>
        </w:rPr>
        <w:t>On the interior, t</w:t>
      </w:r>
      <w:r w:rsidR="00447C65" w:rsidRPr="00901DF4">
        <w:rPr>
          <w:color w:val="000000" w:themeColor="text1"/>
          <w:szCs w:val="22"/>
        </w:rPr>
        <w:t xml:space="preserve">he 1,600 new </w:t>
      </w:r>
      <w:r w:rsidR="00D25914">
        <w:rPr>
          <w:color w:val="000000" w:themeColor="text1"/>
          <w:szCs w:val="22"/>
        </w:rPr>
        <w:t xml:space="preserve">interior accessory </w:t>
      </w:r>
      <w:r w:rsidR="00447C65" w:rsidRPr="00901DF4">
        <w:rPr>
          <w:color w:val="000000" w:themeColor="text1"/>
          <w:szCs w:val="22"/>
        </w:rPr>
        <w:t>windows</w:t>
      </w:r>
      <w:r w:rsidR="000431CC" w:rsidRPr="00901DF4">
        <w:rPr>
          <w:color w:val="000000" w:themeColor="text1"/>
          <w:szCs w:val="22"/>
        </w:rPr>
        <w:t xml:space="preserve"> </w:t>
      </w:r>
      <w:r w:rsidR="00D25914">
        <w:rPr>
          <w:color w:val="000000" w:themeColor="text1"/>
          <w:szCs w:val="22"/>
        </w:rPr>
        <w:t xml:space="preserve">(IAWs) </w:t>
      </w:r>
      <w:r w:rsidR="000431CC" w:rsidRPr="00901DF4">
        <w:rPr>
          <w:color w:val="000000" w:themeColor="text1"/>
          <w:szCs w:val="22"/>
        </w:rPr>
        <w:t xml:space="preserve">provided by Wausau are </w:t>
      </w:r>
      <w:r w:rsidR="00D25914">
        <w:rPr>
          <w:color w:val="000000" w:themeColor="text1"/>
          <w:szCs w:val="22"/>
        </w:rPr>
        <w:t xml:space="preserve">glazed with </w:t>
      </w:r>
      <w:r w:rsidR="000431CC" w:rsidRPr="00901DF4">
        <w:rPr>
          <w:color w:val="000000" w:themeColor="text1"/>
          <w:szCs w:val="22"/>
        </w:rPr>
        <w:t xml:space="preserve">9-foot-tall, laminated </w:t>
      </w:r>
      <w:r w:rsidR="00D25914">
        <w:rPr>
          <w:color w:val="000000" w:themeColor="text1"/>
          <w:szCs w:val="22"/>
        </w:rPr>
        <w:t xml:space="preserve">Viracon </w:t>
      </w:r>
      <w:r w:rsidR="000431CC" w:rsidRPr="00901DF4">
        <w:rPr>
          <w:color w:val="000000" w:themeColor="text1"/>
          <w:szCs w:val="22"/>
        </w:rPr>
        <w:t xml:space="preserve">IGUs for added thermal performance and blast </w:t>
      </w:r>
      <w:r w:rsidR="00D25914">
        <w:rPr>
          <w:color w:val="000000" w:themeColor="text1"/>
          <w:szCs w:val="22"/>
        </w:rPr>
        <w:t xml:space="preserve">hazard </w:t>
      </w:r>
      <w:r w:rsidR="000431CC" w:rsidRPr="00901DF4">
        <w:rPr>
          <w:color w:val="000000" w:themeColor="text1"/>
          <w:szCs w:val="22"/>
        </w:rPr>
        <w:t>mitigation.</w:t>
      </w:r>
      <w:r w:rsidR="00D25914">
        <w:rPr>
          <w:color w:val="000000" w:themeColor="text1"/>
          <w:szCs w:val="22"/>
        </w:rPr>
        <w:t xml:space="preserve"> </w:t>
      </w:r>
      <w:r w:rsidR="00F15AA8">
        <w:rPr>
          <w:color w:val="000000" w:themeColor="text1"/>
          <w:szCs w:val="22"/>
        </w:rPr>
        <w:t>These c</w:t>
      </w:r>
      <w:r w:rsidR="00D25914">
        <w:rPr>
          <w:color w:val="000000" w:themeColor="text1"/>
          <w:szCs w:val="22"/>
        </w:rPr>
        <w:t xml:space="preserve">ustom-designed operable in-swing IAWs incorporated up to nine locking points to safely transfer peak blast loads from glass through framing into building substrates, while providing </w:t>
      </w:r>
      <w:r w:rsidR="0034043A">
        <w:rPr>
          <w:color w:val="000000" w:themeColor="text1"/>
          <w:szCs w:val="22"/>
        </w:rPr>
        <w:t xml:space="preserve">custodial </w:t>
      </w:r>
      <w:r w:rsidR="00D25914">
        <w:rPr>
          <w:color w:val="000000" w:themeColor="text1"/>
          <w:szCs w:val="22"/>
        </w:rPr>
        <w:t>access for</w:t>
      </w:r>
      <w:r w:rsidR="0034043A">
        <w:rPr>
          <w:color w:val="000000" w:themeColor="text1"/>
          <w:szCs w:val="22"/>
        </w:rPr>
        <w:t xml:space="preserve"> periodic </w:t>
      </w:r>
      <w:r w:rsidR="00D25914">
        <w:rPr>
          <w:color w:val="000000" w:themeColor="text1"/>
          <w:szCs w:val="22"/>
        </w:rPr>
        <w:t>internal cleaning.</w:t>
      </w:r>
    </w:p>
    <w:p w14:paraId="5C3454C0" w14:textId="77777777" w:rsidR="00743818" w:rsidRPr="00901DF4" w:rsidRDefault="00743818" w:rsidP="0090198D">
      <w:pPr>
        <w:spacing w:after="0" w:line="240" w:lineRule="auto"/>
        <w:contextualSpacing/>
        <w:rPr>
          <w:color w:val="000000" w:themeColor="text1"/>
          <w:szCs w:val="22"/>
        </w:rPr>
      </w:pPr>
    </w:p>
    <w:p w14:paraId="4FDE7FAA" w14:textId="59FA1AEE" w:rsidR="00F017AC" w:rsidRPr="00901DF4" w:rsidRDefault="00743818" w:rsidP="0090198D">
      <w:pPr>
        <w:spacing w:after="0" w:line="240" w:lineRule="auto"/>
        <w:contextualSpacing/>
        <w:rPr>
          <w:color w:val="000000" w:themeColor="text1"/>
          <w:szCs w:val="22"/>
        </w:rPr>
      </w:pPr>
      <w:r w:rsidRPr="00901DF4">
        <w:rPr>
          <w:color w:val="000000" w:themeColor="text1"/>
          <w:szCs w:val="22"/>
        </w:rPr>
        <w:t xml:space="preserve">The windows on the office building’s lower floors did not have the same historical profile and were replaced with new </w:t>
      </w:r>
      <w:r w:rsidR="00F15AA8">
        <w:rPr>
          <w:color w:val="000000" w:themeColor="text1"/>
          <w:szCs w:val="22"/>
        </w:rPr>
        <w:t xml:space="preserve">fixed </w:t>
      </w:r>
      <w:r w:rsidRPr="00901DF4">
        <w:rPr>
          <w:color w:val="000000" w:themeColor="text1"/>
          <w:szCs w:val="22"/>
        </w:rPr>
        <w:t xml:space="preserve">windows by Wausau that combine all of the desired performance features – multiple high-performance coatings, double </w:t>
      </w:r>
      <w:r w:rsidR="00F15AA8" w:rsidRPr="00901DF4">
        <w:rPr>
          <w:color w:val="000000" w:themeColor="text1"/>
          <w:szCs w:val="22"/>
        </w:rPr>
        <w:t>insulat</w:t>
      </w:r>
      <w:r w:rsidR="00F15AA8">
        <w:rPr>
          <w:color w:val="000000" w:themeColor="text1"/>
          <w:szCs w:val="22"/>
        </w:rPr>
        <w:t>ing</w:t>
      </w:r>
      <w:r w:rsidR="00F15AA8" w:rsidRPr="00901DF4">
        <w:rPr>
          <w:color w:val="000000" w:themeColor="text1"/>
          <w:szCs w:val="22"/>
        </w:rPr>
        <w:t xml:space="preserve"> </w:t>
      </w:r>
      <w:r w:rsidRPr="00901DF4">
        <w:rPr>
          <w:color w:val="000000" w:themeColor="text1"/>
          <w:szCs w:val="22"/>
        </w:rPr>
        <w:t xml:space="preserve">units, </w:t>
      </w:r>
      <w:r w:rsidR="00F15AA8">
        <w:rPr>
          <w:color w:val="000000" w:themeColor="text1"/>
          <w:szCs w:val="22"/>
        </w:rPr>
        <w:t xml:space="preserve">and </w:t>
      </w:r>
      <w:r w:rsidRPr="00901DF4">
        <w:rPr>
          <w:color w:val="000000" w:themeColor="text1"/>
          <w:szCs w:val="22"/>
        </w:rPr>
        <w:t>laminated glass. At 13 feet high and taller, these windows were fabricated with Viracon’s low-e glass to manage Colorado’s challenging climate</w:t>
      </w:r>
      <w:r w:rsidR="009C77A7" w:rsidRPr="00901DF4">
        <w:rPr>
          <w:color w:val="000000" w:themeColor="text1"/>
          <w:szCs w:val="22"/>
        </w:rPr>
        <w:t xml:space="preserve"> and help meet the building’s energy goals</w:t>
      </w:r>
      <w:r w:rsidRPr="00901DF4">
        <w:rPr>
          <w:color w:val="000000" w:themeColor="text1"/>
          <w:szCs w:val="22"/>
        </w:rPr>
        <w:t>.</w:t>
      </w:r>
    </w:p>
    <w:p w14:paraId="6651B529" w14:textId="77777777" w:rsidR="00F017AC" w:rsidRPr="00901DF4" w:rsidRDefault="00F017AC" w:rsidP="0090198D">
      <w:pPr>
        <w:spacing w:after="0" w:line="240" w:lineRule="auto"/>
        <w:contextualSpacing/>
        <w:rPr>
          <w:color w:val="000000" w:themeColor="text1"/>
          <w:szCs w:val="22"/>
        </w:rPr>
      </w:pPr>
    </w:p>
    <w:p w14:paraId="5D94AD14" w14:textId="5580B359" w:rsidR="00F017AC" w:rsidRPr="00901DF4" w:rsidRDefault="0009035B" w:rsidP="0090198D">
      <w:pPr>
        <w:spacing w:after="0" w:line="240" w:lineRule="auto"/>
        <w:contextualSpacing/>
        <w:rPr>
          <w:color w:val="000000" w:themeColor="text1"/>
          <w:szCs w:val="22"/>
        </w:rPr>
      </w:pPr>
      <w:r w:rsidRPr="00901DF4">
        <w:rPr>
          <w:color w:val="000000" w:themeColor="text1"/>
          <w:szCs w:val="22"/>
        </w:rPr>
        <w:t xml:space="preserve">Meeting the required performance specifications by elevation, the windows on the south </w:t>
      </w:r>
      <w:r w:rsidR="009421EF" w:rsidRPr="00901DF4">
        <w:rPr>
          <w:color w:val="000000" w:themeColor="text1"/>
          <w:szCs w:val="22"/>
        </w:rPr>
        <w:t xml:space="preserve">side </w:t>
      </w:r>
      <w:r w:rsidRPr="00901DF4">
        <w:rPr>
          <w:color w:val="000000" w:themeColor="text1"/>
          <w:szCs w:val="22"/>
        </w:rPr>
        <w:t>allow 24 percent visual transmittance with a solar heat gain coefficient (SHGC) of 0.17</w:t>
      </w:r>
      <w:r w:rsidR="009421EF" w:rsidRPr="00901DF4">
        <w:rPr>
          <w:color w:val="000000" w:themeColor="text1"/>
          <w:szCs w:val="22"/>
        </w:rPr>
        <w:t>. On the north side, visual transmittance i</w:t>
      </w:r>
      <w:r w:rsidR="00AC3E89">
        <w:rPr>
          <w:color w:val="000000" w:themeColor="text1"/>
          <w:szCs w:val="22"/>
        </w:rPr>
        <w:t>s</w:t>
      </w:r>
      <w:r w:rsidR="009421EF" w:rsidRPr="00901DF4">
        <w:rPr>
          <w:color w:val="000000" w:themeColor="text1"/>
          <w:szCs w:val="22"/>
        </w:rPr>
        <w:t xml:space="preserve"> 35 percent and 0.22 SHGC. </w:t>
      </w:r>
      <w:r w:rsidRPr="00901DF4">
        <w:rPr>
          <w:color w:val="000000" w:themeColor="text1"/>
          <w:szCs w:val="22"/>
        </w:rPr>
        <w:t>The window assembly achieve</w:t>
      </w:r>
      <w:r w:rsidR="00AC3E89">
        <w:rPr>
          <w:color w:val="000000" w:themeColor="text1"/>
          <w:szCs w:val="22"/>
        </w:rPr>
        <w:t>d</w:t>
      </w:r>
      <w:r w:rsidR="009421EF" w:rsidRPr="00901DF4">
        <w:rPr>
          <w:color w:val="000000" w:themeColor="text1"/>
          <w:szCs w:val="22"/>
        </w:rPr>
        <w:t xml:space="preserve"> </w:t>
      </w:r>
      <w:r w:rsidRPr="00901DF4">
        <w:rPr>
          <w:color w:val="000000" w:themeColor="text1"/>
          <w:szCs w:val="22"/>
        </w:rPr>
        <w:t xml:space="preserve">an 0.27 </w:t>
      </w:r>
      <w:r w:rsidR="00D25914">
        <w:rPr>
          <w:color w:val="000000" w:themeColor="text1"/>
          <w:szCs w:val="22"/>
        </w:rPr>
        <w:t xml:space="preserve">BTU/hr.sqft.°F overall </w:t>
      </w:r>
      <w:r w:rsidRPr="00901DF4">
        <w:rPr>
          <w:color w:val="000000" w:themeColor="text1"/>
          <w:szCs w:val="22"/>
        </w:rPr>
        <w:t>effective U-factor</w:t>
      </w:r>
      <w:r w:rsidR="00AC3E89">
        <w:rPr>
          <w:color w:val="000000" w:themeColor="text1"/>
          <w:szCs w:val="22"/>
        </w:rPr>
        <w:t>.</w:t>
      </w:r>
    </w:p>
    <w:p w14:paraId="22B581A1" w14:textId="77777777" w:rsidR="0009035B" w:rsidRPr="00901DF4" w:rsidRDefault="0009035B" w:rsidP="0090198D">
      <w:pPr>
        <w:spacing w:after="0" w:line="240" w:lineRule="auto"/>
        <w:contextualSpacing/>
        <w:rPr>
          <w:rFonts w:ascii="Futura Medium" w:hAnsi="Futura Medium" w:cs="Futura Medium"/>
          <w:b/>
          <w:i/>
          <w:color w:val="000000" w:themeColor="text1"/>
          <w:szCs w:val="22"/>
        </w:rPr>
      </w:pPr>
    </w:p>
    <w:p w14:paraId="4350196F" w14:textId="77777777" w:rsidR="005C1CE1" w:rsidRDefault="005C1CE1">
      <w:pPr>
        <w:spacing w:after="0" w:line="240" w:lineRule="auto"/>
        <w:rPr>
          <w:rFonts w:ascii="Futura Medium" w:hAnsi="Futura Medium" w:cs="Futura Medium"/>
          <w:b/>
          <w:i/>
          <w:color w:val="000000" w:themeColor="text1"/>
          <w:szCs w:val="22"/>
        </w:rPr>
      </w:pPr>
      <w:r>
        <w:rPr>
          <w:rFonts w:ascii="Futura Medium" w:hAnsi="Futura Medium" w:cs="Futura Medium"/>
          <w:b/>
          <w:i/>
          <w:color w:val="000000" w:themeColor="text1"/>
          <w:szCs w:val="22"/>
        </w:rPr>
        <w:br w:type="page"/>
      </w:r>
    </w:p>
    <w:p w14:paraId="4CCCC7CF" w14:textId="23A9C750" w:rsidR="00F017AC" w:rsidRPr="00901DF4" w:rsidRDefault="00F017AC" w:rsidP="0090198D">
      <w:pPr>
        <w:spacing w:after="0" w:line="240" w:lineRule="auto"/>
        <w:contextualSpacing/>
        <w:rPr>
          <w:rFonts w:ascii="Futura Medium" w:hAnsi="Futura Medium" w:cs="Futura Medium"/>
          <w:b/>
          <w:i/>
          <w:color w:val="000000" w:themeColor="text1"/>
          <w:szCs w:val="22"/>
        </w:rPr>
      </w:pPr>
      <w:r w:rsidRPr="00901DF4">
        <w:rPr>
          <w:rFonts w:ascii="Futura Medium" w:hAnsi="Futura Medium" w:cs="Futura Medium" w:hint="cs"/>
          <w:b/>
          <w:i/>
          <w:color w:val="000000" w:themeColor="text1"/>
          <w:szCs w:val="22"/>
        </w:rPr>
        <w:lastRenderedPageBreak/>
        <w:t xml:space="preserve">Daylighting </w:t>
      </w:r>
      <w:r w:rsidRPr="00901DF4">
        <w:rPr>
          <w:rFonts w:ascii="Futura Medium" w:hAnsi="Futura Medium" w:cs="Futura Medium"/>
          <w:b/>
          <w:i/>
          <w:color w:val="000000" w:themeColor="text1"/>
          <w:szCs w:val="22"/>
        </w:rPr>
        <w:t>and Durability Enhance Design</w:t>
      </w:r>
    </w:p>
    <w:p w14:paraId="168413E1" w14:textId="77777777" w:rsidR="00F017AC" w:rsidRPr="00901DF4" w:rsidRDefault="00F017AC" w:rsidP="0090198D">
      <w:pPr>
        <w:spacing w:after="0" w:line="240" w:lineRule="auto"/>
        <w:contextualSpacing/>
        <w:rPr>
          <w:color w:val="000000" w:themeColor="text1"/>
          <w:szCs w:val="22"/>
        </w:rPr>
      </w:pPr>
      <w:r w:rsidRPr="00901DF4">
        <w:rPr>
          <w:color w:val="000000" w:themeColor="text1"/>
          <w:szCs w:val="22"/>
        </w:rPr>
        <w:t>Evoking the footprint and windows of the office tower, the courthouse building’s Champa Street elevation is accented at the top and bottom in white marble bands. Its windows are oriented vertically and in pairs, running in tall bands divided by thin strips of marble. The Stout Street elevation features a metal art screen, a common element of Modern Formalism, over large windows. The screen also serves to control direct sunlight on the interior. Wausau’s light shelves help carry the natural light more deeply into the building’s interior corridors.</w:t>
      </w:r>
    </w:p>
    <w:p w14:paraId="3E95F6BC" w14:textId="77777777" w:rsidR="00F017AC" w:rsidRPr="00901DF4" w:rsidRDefault="00F017AC" w:rsidP="0090198D">
      <w:pPr>
        <w:spacing w:after="0" w:line="240" w:lineRule="auto"/>
        <w:contextualSpacing/>
        <w:rPr>
          <w:color w:val="000000" w:themeColor="text1"/>
          <w:szCs w:val="22"/>
        </w:rPr>
      </w:pPr>
    </w:p>
    <w:p w14:paraId="26F2C2A7" w14:textId="49E0E48D" w:rsidR="00F017AC" w:rsidRPr="00901DF4" w:rsidRDefault="00F017AC" w:rsidP="0090198D">
      <w:pPr>
        <w:spacing w:after="0" w:line="240" w:lineRule="auto"/>
        <w:contextualSpacing/>
        <w:rPr>
          <w:color w:val="000000" w:themeColor="text1"/>
          <w:szCs w:val="22"/>
        </w:rPr>
      </w:pPr>
      <w:r w:rsidRPr="00901DF4">
        <w:rPr>
          <w:color w:val="000000" w:themeColor="text1"/>
          <w:szCs w:val="22"/>
        </w:rPr>
        <w:t xml:space="preserve">In addition to daylighting and energy-efficiency, the Byron Rogers sustainability goals </w:t>
      </w:r>
      <w:r w:rsidR="00046EFB" w:rsidRPr="00901DF4">
        <w:rPr>
          <w:color w:val="000000" w:themeColor="text1"/>
          <w:szCs w:val="22"/>
        </w:rPr>
        <w:t>were</w:t>
      </w:r>
      <w:r w:rsidRPr="00901DF4">
        <w:rPr>
          <w:color w:val="000000" w:themeColor="text1"/>
          <w:szCs w:val="22"/>
        </w:rPr>
        <w:t xml:space="preserve"> supported with Wausau’s extruded aluminum frames and light shelves</w:t>
      </w:r>
      <w:r w:rsidR="00046EFB" w:rsidRPr="00901DF4">
        <w:rPr>
          <w:color w:val="000000" w:themeColor="text1"/>
          <w:szCs w:val="22"/>
        </w:rPr>
        <w:t xml:space="preserve"> </w:t>
      </w:r>
      <w:r w:rsidR="00D25914">
        <w:rPr>
          <w:color w:val="000000" w:themeColor="text1"/>
          <w:szCs w:val="22"/>
        </w:rPr>
        <w:t>containing</w:t>
      </w:r>
      <w:r w:rsidR="00046EFB" w:rsidRPr="00901DF4">
        <w:rPr>
          <w:color w:val="000000" w:themeColor="text1"/>
          <w:szCs w:val="22"/>
        </w:rPr>
        <w:t xml:space="preserve"> </w:t>
      </w:r>
      <w:r w:rsidRPr="00901DF4">
        <w:rPr>
          <w:color w:val="000000" w:themeColor="text1"/>
          <w:szCs w:val="22"/>
        </w:rPr>
        <w:t>recycled content averaging 70</w:t>
      </w:r>
      <w:r w:rsidR="00046EFB" w:rsidRPr="00901DF4">
        <w:rPr>
          <w:color w:val="000000" w:themeColor="text1"/>
          <w:szCs w:val="22"/>
        </w:rPr>
        <w:t xml:space="preserve"> percent</w:t>
      </w:r>
      <w:r w:rsidRPr="00901DF4">
        <w:rPr>
          <w:color w:val="000000" w:themeColor="text1"/>
          <w:szCs w:val="22"/>
        </w:rPr>
        <w:t xml:space="preserve"> or greater. </w:t>
      </w:r>
      <w:r w:rsidR="00046EFB" w:rsidRPr="00901DF4">
        <w:rPr>
          <w:color w:val="000000" w:themeColor="text1"/>
          <w:szCs w:val="22"/>
        </w:rPr>
        <w:t xml:space="preserve">Environmentally responsible finisher </w:t>
      </w:r>
      <w:r w:rsidRPr="00901DF4">
        <w:rPr>
          <w:color w:val="000000" w:themeColor="text1"/>
          <w:szCs w:val="22"/>
        </w:rPr>
        <w:t xml:space="preserve">Linetec </w:t>
      </w:r>
      <w:r w:rsidR="00046EFB" w:rsidRPr="00901DF4">
        <w:rPr>
          <w:color w:val="000000" w:themeColor="text1"/>
          <w:szCs w:val="22"/>
        </w:rPr>
        <w:t xml:space="preserve">anodized </w:t>
      </w:r>
      <w:r w:rsidRPr="00901DF4">
        <w:rPr>
          <w:color w:val="000000" w:themeColor="text1"/>
          <w:szCs w:val="22"/>
        </w:rPr>
        <w:t xml:space="preserve">the majority of the aluminum in a VOC-free, dark bronze </w:t>
      </w:r>
      <w:r w:rsidR="00046EFB" w:rsidRPr="00901DF4">
        <w:rPr>
          <w:color w:val="000000" w:themeColor="text1"/>
          <w:szCs w:val="22"/>
        </w:rPr>
        <w:t>color</w:t>
      </w:r>
      <w:r w:rsidRPr="00901DF4">
        <w:rPr>
          <w:color w:val="000000" w:themeColor="text1"/>
          <w:szCs w:val="22"/>
        </w:rPr>
        <w:t xml:space="preserve"> for easy maintenance</w:t>
      </w:r>
      <w:r w:rsidR="00D27326" w:rsidRPr="00901DF4">
        <w:rPr>
          <w:color w:val="000000" w:themeColor="text1"/>
          <w:szCs w:val="22"/>
        </w:rPr>
        <w:t xml:space="preserve">, </w:t>
      </w:r>
      <w:r w:rsidRPr="00901DF4">
        <w:rPr>
          <w:color w:val="000000" w:themeColor="text1"/>
          <w:szCs w:val="22"/>
        </w:rPr>
        <w:t>durability</w:t>
      </w:r>
      <w:r w:rsidR="00D27326" w:rsidRPr="00901DF4">
        <w:rPr>
          <w:color w:val="000000" w:themeColor="text1"/>
          <w:szCs w:val="22"/>
        </w:rPr>
        <w:t xml:space="preserve"> and a lasting historic appearance</w:t>
      </w:r>
      <w:r w:rsidRPr="00901DF4">
        <w:rPr>
          <w:color w:val="000000" w:themeColor="text1"/>
          <w:szCs w:val="22"/>
        </w:rPr>
        <w:t>.</w:t>
      </w:r>
    </w:p>
    <w:p w14:paraId="061B8631" w14:textId="77777777" w:rsidR="00AA6897" w:rsidRPr="00901DF4" w:rsidRDefault="00AA6897" w:rsidP="0090198D">
      <w:pPr>
        <w:spacing w:after="0" w:line="240" w:lineRule="auto"/>
        <w:contextualSpacing/>
        <w:rPr>
          <w:color w:val="000000" w:themeColor="text1"/>
          <w:szCs w:val="22"/>
        </w:rPr>
      </w:pPr>
    </w:p>
    <w:p w14:paraId="1DB89B4C" w14:textId="77777777" w:rsidR="00F017AC" w:rsidRPr="00901DF4" w:rsidRDefault="00F017AC" w:rsidP="0090198D">
      <w:pPr>
        <w:spacing w:after="0" w:line="240" w:lineRule="auto"/>
        <w:contextualSpacing/>
        <w:rPr>
          <w:color w:val="000000" w:themeColor="text1"/>
          <w:szCs w:val="22"/>
        </w:rPr>
      </w:pPr>
    </w:p>
    <w:p w14:paraId="1EF3598E" w14:textId="2F817B71" w:rsidR="00B408A1" w:rsidRPr="00901DF4" w:rsidRDefault="00AA6897" w:rsidP="0090198D">
      <w:pPr>
        <w:spacing w:after="0" w:line="240" w:lineRule="auto"/>
        <w:contextualSpacing/>
        <w:rPr>
          <w:color w:val="000000" w:themeColor="text1"/>
        </w:rPr>
      </w:pPr>
      <w:r w:rsidRPr="00901DF4">
        <w:rPr>
          <w:color w:val="000000" w:themeColor="text1"/>
          <w:szCs w:val="22"/>
        </w:rPr>
        <w:t>I</w:t>
      </w:r>
      <w:r w:rsidR="00F017AC" w:rsidRPr="00901DF4">
        <w:rPr>
          <w:color w:val="000000" w:themeColor="text1"/>
          <w:szCs w:val="22"/>
        </w:rPr>
        <w:t>ntegrat</w:t>
      </w:r>
      <w:r w:rsidRPr="00901DF4">
        <w:rPr>
          <w:color w:val="000000" w:themeColor="text1"/>
          <w:szCs w:val="22"/>
        </w:rPr>
        <w:t>ing</w:t>
      </w:r>
      <w:r w:rsidR="00F017AC" w:rsidRPr="00901DF4">
        <w:rPr>
          <w:color w:val="000000" w:themeColor="text1"/>
          <w:szCs w:val="22"/>
        </w:rPr>
        <w:t xml:space="preserve"> the concepts of sustainability into its buildings and its business processes</w:t>
      </w:r>
      <w:r w:rsidRPr="00901DF4">
        <w:rPr>
          <w:color w:val="000000" w:themeColor="text1"/>
          <w:szCs w:val="22"/>
        </w:rPr>
        <w:t>,</w:t>
      </w:r>
      <w:r w:rsidR="00F017AC" w:rsidRPr="00901DF4">
        <w:rPr>
          <w:color w:val="000000" w:themeColor="text1"/>
          <w:szCs w:val="22"/>
        </w:rPr>
        <w:t xml:space="preserve"> </w:t>
      </w:r>
      <w:r w:rsidR="00B408A1" w:rsidRPr="00901DF4">
        <w:rPr>
          <w:color w:val="000000" w:themeColor="text1"/>
        </w:rPr>
        <w:t>GSA Regional Administrator Susan Damour concluded, “We are one of the largest and most diversified public real estate organizations in the world and as such, we have a responsibility to help lead the government’s sustainability transformation. High-performing green buildings provide the best value for the taxpayer and the public because they minimize the federal footprint through efficient use of energy, water and resources, and they create healthier productive workspaces.”</w:t>
      </w:r>
    </w:p>
    <w:p w14:paraId="78BF50F5" w14:textId="77777777" w:rsidR="00B408A1" w:rsidRPr="00901DF4" w:rsidRDefault="00B408A1" w:rsidP="0090198D">
      <w:pPr>
        <w:spacing w:after="0" w:line="240" w:lineRule="auto"/>
        <w:contextualSpacing/>
        <w:rPr>
          <w:color w:val="000000" w:themeColor="text1"/>
          <w:szCs w:val="22"/>
        </w:rPr>
      </w:pPr>
    </w:p>
    <w:p w14:paraId="4092229F" w14:textId="77777777" w:rsidR="00447C65" w:rsidRPr="00901DF4" w:rsidRDefault="00447C65" w:rsidP="0090198D">
      <w:pPr>
        <w:spacing w:after="0" w:line="240" w:lineRule="auto"/>
        <w:contextualSpacing/>
        <w:rPr>
          <w:b/>
          <w:i/>
          <w:color w:val="000000" w:themeColor="text1"/>
        </w:rPr>
      </w:pPr>
    </w:p>
    <w:p w14:paraId="0DF5697B" w14:textId="681C81B3" w:rsidR="00447C65" w:rsidRPr="00901DF4" w:rsidRDefault="00447C65" w:rsidP="0090198D">
      <w:pPr>
        <w:spacing w:after="0" w:line="240" w:lineRule="auto"/>
        <w:contextualSpacing/>
        <w:jc w:val="center"/>
        <w:rPr>
          <w:b/>
          <w:i/>
          <w:color w:val="000000" w:themeColor="text1"/>
        </w:rPr>
      </w:pPr>
      <w:r w:rsidRPr="00901DF4">
        <w:rPr>
          <w:b/>
          <w:i/>
          <w:color w:val="000000" w:themeColor="text1"/>
        </w:rPr>
        <w:t>**</w:t>
      </w:r>
    </w:p>
    <w:p w14:paraId="28A8B135" w14:textId="77777777" w:rsidR="00447C65" w:rsidRPr="00901DF4" w:rsidRDefault="00447C65" w:rsidP="0090198D">
      <w:pPr>
        <w:spacing w:after="0" w:line="240" w:lineRule="auto"/>
        <w:contextualSpacing/>
        <w:jc w:val="center"/>
        <w:rPr>
          <w:b/>
          <w:i/>
          <w:color w:val="000000" w:themeColor="text1"/>
        </w:rPr>
      </w:pPr>
    </w:p>
    <w:p w14:paraId="5E91C5EE" w14:textId="72B4D965" w:rsidR="00B408A1" w:rsidRDefault="00B408A1" w:rsidP="0090198D">
      <w:pPr>
        <w:spacing w:after="0" w:line="240" w:lineRule="auto"/>
        <w:contextualSpacing/>
        <w:rPr>
          <w:rFonts w:ascii="Futura Medium" w:hAnsi="Futura Medium" w:cs="Futura Medium"/>
          <w:b/>
          <w:i/>
          <w:color w:val="000000" w:themeColor="text1"/>
        </w:rPr>
      </w:pPr>
      <w:r w:rsidRPr="00901DF4">
        <w:rPr>
          <w:rFonts w:ascii="Futura Medium" w:hAnsi="Futura Medium" w:cs="Futura Medium" w:hint="cs"/>
          <w:b/>
          <w:i/>
          <w:color w:val="000000" w:themeColor="text1"/>
        </w:rPr>
        <w:t>Byron G. Rogers Federal Building and Courthouse, 1961 Stout Street, Denver, CO</w:t>
      </w:r>
    </w:p>
    <w:p w14:paraId="1F04DA39" w14:textId="33B153D8" w:rsidR="00D646FC" w:rsidRPr="00901DF4" w:rsidRDefault="00D646FC" w:rsidP="00D646FC">
      <w:pPr>
        <w:spacing w:after="0" w:line="240" w:lineRule="auto"/>
        <w:ind w:right="-540"/>
        <w:contextualSpacing/>
        <w:rPr>
          <w:rFonts w:ascii="Futura Medium" w:hAnsi="Futura Medium" w:cs="Futura Medium"/>
          <w:i/>
          <w:color w:val="000000" w:themeColor="text1"/>
          <w:szCs w:val="22"/>
        </w:rPr>
      </w:pPr>
      <w:r w:rsidRPr="00D646FC">
        <w:rPr>
          <w:rFonts w:ascii="Futura Medium" w:hAnsi="Futura Medium" w:cs="Futura Medium"/>
          <w:i/>
          <w:color w:val="000000" w:themeColor="text1"/>
          <w:szCs w:val="22"/>
        </w:rPr>
        <w:t>https://www.gsa.gov/historic-buildings/byron-g-rogers-federal-building-and-us-courthouse-denver-co</w:t>
      </w:r>
    </w:p>
    <w:p w14:paraId="70F594AD" w14:textId="77777777" w:rsidR="00567DA3" w:rsidRPr="00567DA3" w:rsidRDefault="00B408A1" w:rsidP="00761779">
      <w:pPr>
        <w:pStyle w:val="BodyText"/>
        <w:numPr>
          <w:ilvl w:val="0"/>
          <w:numId w:val="10"/>
        </w:numPr>
        <w:spacing w:after="0"/>
        <w:ind w:left="360"/>
        <w:contextualSpacing/>
        <w:rPr>
          <w:sz w:val="20"/>
        </w:rPr>
      </w:pPr>
      <w:r w:rsidRPr="00567DA3">
        <w:rPr>
          <w:color w:val="000000" w:themeColor="text1"/>
          <w:sz w:val="20"/>
        </w:rPr>
        <w:t xml:space="preserve">Owner: General Services Administration, Rocky Mountain Region 8; Denver; </w:t>
      </w:r>
      <w:r w:rsidR="00567DA3" w:rsidRPr="00567DA3">
        <w:rPr>
          <w:color w:val="000000"/>
          <w:sz w:val="20"/>
        </w:rPr>
        <w:t>https://www.gsa.gov/about-us/regions/welcome-to-the-rocky-mountain-region-8</w:t>
      </w:r>
    </w:p>
    <w:p w14:paraId="0D3FCE17" w14:textId="16C0792E" w:rsidR="00B408A1" w:rsidRPr="00567DA3" w:rsidRDefault="00B408A1" w:rsidP="00761779">
      <w:pPr>
        <w:pStyle w:val="BodyText"/>
        <w:numPr>
          <w:ilvl w:val="0"/>
          <w:numId w:val="10"/>
        </w:numPr>
        <w:spacing w:after="0"/>
        <w:ind w:left="360"/>
        <w:contextualSpacing/>
        <w:rPr>
          <w:sz w:val="20"/>
        </w:rPr>
      </w:pPr>
      <w:r w:rsidRPr="00567DA3">
        <w:rPr>
          <w:rStyle w:val="Strong"/>
          <w:rFonts w:eastAsia="Cambria"/>
          <w:b w:val="0"/>
          <w:sz w:val="20"/>
        </w:rPr>
        <w:t>Design-builder</w:t>
      </w:r>
      <w:r w:rsidRPr="00567DA3">
        <w:rPr>
          <w:sz w:val="20"/>
        </w:rPr>
        <w:t>: Mortenson Construction; Denver office; https://www.mortenson.com</w:t>
      </w:r>
    </w:p>
    <w:p w14:paraId="63D207F8" w14:textId="77777777" w:rsidR="00B408A1" w:rsidRPr="00AE5365" w:rsidRDefault="00B408A1" w:rsidP="0090198D">
      <w:pPr>
        <w:pStyle w:val="BodyText"/>
        <w:numPr>
          <w:ilvl w:val="0"/>
          <w:numId w:val="10"/>
        </w:numPr>
        <w:spacing w:after="0"/>
        <w:ind w:left="360"/>
        <w:contextualSpacing/>
        <w:rPr>
          <w:sz w:val="20"/>
        </w:rPr>
      </w:pPr>
      <w:r w:rsidRPr="00AE5365">
        <w:rPr>
          <w:sz w:val="20"/>
        </w:rPr>
        <w:t xml:space="preserve">Original architects: </w:t>
      </w:r>
      <w:r w:rsidRPr="00AE5365">
        <w:rPr>
          <w:color w:val="000000"/>
          <w:sz w:val="20"/>
        </w:rPr>
        <w:t>James Sudler Associates and Fisher &amp; Davis</w:t>
      </w:r>
    </w:p>
    <w:p w14:paraId="0B88971A" w14:textId="77777777" w:rsidR="00B408A1" w:rsidRPr="00AE5365" w:rsidRDefault="00B408A1" w:rsidP="0090198D">
      <w:pPr>
        <w:pStyle w:val="BodyText"/>
        <w:numPr>
          <w:ilvl w:val="0"/>
          <w:numId w:val="10"/>
        </w:numPr>
        <w:spacing w:after="0"/>
        <w:ind w:left="360"/>
        <w:contextualSpacing/>
        <w:rPr>
          <w:sz w:val="20"/>
        </w:rPr>
      </w:pPr>
      <w:r w:rsidRPr="00AE5365">
        <w:rPr>
          <w:rStyle w:val="Strong"/>
          <w:rFonts w:eastAsia="Cambria"/>
          <w:b w:val="0"/>
          <w:sz w:val="20"/>
        </w:rPr>
        <w:t>Current architects</w:t>
      </w:r>
      <w:r w:rsidRPr="00AE5365">
        <w:rPr>
          <w:sz w:val="20"/>
        </w:rPr>
        <w:t xml:space="preserve"> – </w:t>
      </w:r>
    </w:p>
    <w:p w14:paraId="12198A67" w14:textId="77777777" w:rsidR="00B408A1" w:rsidRPr="00AE5365" w:rsidRDefault="00B408A1" w:rsidP="0090198D">
      <w:pPr>
        <w:pStyle w:val="BodyText"/>
        <w:spacing w:after="0"/>
        <w:ind w:left="360"/>
        <w:contextualSpacing/>
        <w:rPr>
          <w:sz w:val="20"/>
        </w:rPr>
      </w:pPr>
      <w:r w:rsidRPr="00AE5365">
        <w:rPr>
          <w:sz w:val="20"/>
        </w:rPr>
        <w:t xml:space="preserve">Design architect: HOK Architecture; Denver office; </w:t>
      </w:r>
      <w:r w:rsidRPr="00174E26">
        <w:rPr>
          <w:sz w:val="20"/>
        </w:rPr>
        <w:t>https://www.hok.com</w:t>
      </w:r>
    </w:p>
    <w:p w14:paraId="78DF4F9B" w14:textId="77777777" w:rsidR="00B408A1" w:rsidRPr="00AE5365" w:rsidRDefault="00B408A1" w:rsidP="0090198D">
      <w:pPr>
        <w:pStyle w:val="BodyText"/>
        <w:spacing w:after="0"/>
        <w:ind w:left="360"/>
        <w:contextualSpacing/>
        <w:rPr>
          <w:sz w:val="20"/>
        </w:rPr>
      </w:pPr>
      <w:r w:rsidRPr="00AE5365">
        <w:rPr>
          <w:sz w:val="20"/>
        </w:rPr>
        <w:t>Architect of record: Bennett Wagner &amp; Grody Architects</w:t>
      </w:r>
      <w:r>
        <w:rPr>
          <w:sz w:val="20"/>
        </w:rPr>
        <w:t xml:space="preserve"> (now CannonDesign)</w:t>
      </w:r>
      <w:r w:rsidRPr="00AE5365">
        <w:rPr>
          <w:sz w:val="20"/>
        </w:rPr>
        <w:t xml:space="preserve">; Denver office; </w:t>
      </w:r>
      <w:r w:rsidRPr="00174E26">
        <w:rPr>
          <w:sz w:val="20"/>
        </w:rPr>
        <w:t>http://www.bwgarchitects.com</w:t>
      </w:r>
    </w:p>
    <w:p w14:paraId="29FDE45F" w14:textId="77777777" w:rsidR="00B408A1" w:rsidRPr="00AE5365" w:rsidRDefault="00B408A1" w:rsidP="0090198D">
      <w:pPr>
        <w:pStyle w:val="BodyText"/>
        <w:numPr>
          <w:ilvl w:val="0"/>
          <w:numId w:val="10"/>
        </w:numPr>
        <w:spacing w:after="0"/>
        <w:ind w:left="360"/>
        <w:contextualSpacing/>
        <w:rPr>
          <w:sz w:val="20"/>
        </w:rPr>
      </w:pPr>
      <w:r w:rsidRPr="00AE5365">
        <w:rPr>
          <w:rStyle w:val="Strong"/>
          <w:rFonts w:eastAsia="Cambria"/>
          <w:b w:val="0"/>
          <w:sz w:val="20"/>
        </w:rPr>
        <w:t>High-performance green building consultant:</w:t>
      </w:r>
      <w:r w:rsidRPr="00AE5365">
        <w:rPr>
          <w:sz w:val="20"/>
        </w:rPr>
        <w:t xml:space="preserve"> Rocky Mountain Institute; Snowmass, Colo</w:t>
      </w:r>
      <w:r>
        <w:rPr>
          <w:sz w:val="20"/>
        </w:rPr>
        <w:t>rado</w:t>
      </w:r>
      <w:r w:rsidRPr="00AE5365">
        <w:rPr>
          <w:sz w:val="20"/>
        </w:rPr>
        <w:t xml:space="preserve">; </w:t>
      </w:r>
      <w:r w:rsidRPr="00174E26">
        <w:rPr>
          <w:sz w:val="20"/>
        </w:rPr>
        <w:t>https://www.rmi.org</w:t>
      </w:r>
    </w:p>
    <w:p w14:paraId="0C2EDC1E" w14:textId="5920B006" w:rsidR="00B408A1" w:rsidRPr="00AE5365" w:rsidRDefault="00B408A1" w:rsidP="0090198D">
      <w:pPr>
        <w:pStyle w:val="BodyText"/>
        <w:numPr>
          <w:ilvl w:val="0"/>
          <w:numId w:val="10"/>
        </w:numPr>
        <w:spacing w:after="0"/>
        <w:ind w:left="360"/>
        <w:contextualSpacing/>
        <w:rPr>
          <w:sz w:val="20"/>
        </w:rPr>
      </w:pPr>
      <w:r w:rsidRPr="00AE5365">
        <w:rPr>
          <w:sz w:val="20"/>
        </w:rPr>
        <w:t>Glazing contractor: Harmon, Inc.</w:t>
      </w:r>
      <w:r w:rsidR="00447C65">
        <w:rPr>
          <w:sz w:val="20"/>
        </w:rPr>
        <w:t>, an Apogee Enterprises company</w:t>
      </w:r>
      <w:r w:rsidRPr="00AE5365">
        <w:rPr>
          <w:sz w:val="20"/>
        </w:rPr>
        <w:t xml:space="preserve">; Denver office; </w:t>
      </w:r>
      <w:r w:rsidRPr="00174E26">
        <w:rPr>
          <w:sz w:val="20"/>
        </w:rPr>
        <w:t>http://harmoninc.com</w:t>
      </w:r>
    </w:p>
    <w:p w14:paraId="7CBF28F0" w14:textId="6C75F592" w:rsidR="00B408A1" w:rsidRDefault="00B408A1" w:rsidP="0090198D">
      <w:pPr>
        <w:pStyle w:val="BodyText"/>
        <w:numPr>
          <w:ilvl w:val="0"/>
          <w:numId w:val="10"/>
        </w:numPr>
        <w:spacing w:after="0"/>
        <w:ind w:left="360"/>
        <w:contextualSpacing/>
        <w:rPr>
          <w:sz w:val="20"/>
        </w:rPr>
      </w:pPr>
      <w:r w:rsidRPr="00174E26">
        <w:rPr>
          <w:sz w:val="20"/>
        </w:rPr>
        <w:t>Glazing systems – manufacturer:</w:t>
      </w:r>
      <w:r>
        <w:rPr>
          <w:sz w:val="20"/>
        </w:rPr>
        <w:t xml:space="preserve"> </w:t>
      </w:r>
      <w:r w:rsidRPr="00174E26">
        <w:rPr>
          <w:sz w:val="20"/>
        </w:rPr>
        <w:t>Wausau Window and Wall Systems</w:t>
      </w:r>
      <w:r w:rsidR="00447C65">
        <w:rPr>
          <w:sz w:val="20"/>
        </w:rPr>
        <w:t>, an Apogee Enterprises company</w:t>
      </w:r>
      <w:r w:rsidRPr="00174E26">
        <w:rPr>
          <w:sz w:val="20"/>
        </w:rPr>
        <w:t>; Wausau, Wisconsin; http://www.wausauwindow.com</w:t>
      </w:r>
    </w:p>
    <w:p w14:paraId="4C926850" w14:textId="7BDDB27D" w:rsidR="00B408A1" w:rsidRPr="00174E26" w:rsidRDefault="00B408A1" w:rsidP="0090198D">
      <w:pPr>
        <w:pStyle w:val="BodyText"/>
        <w:numPr>
          <w:ilvl w:val="0"/>
          <w:numId w:val="10"/>
        </w:numPr>
        <w:spacing w:after="0"/>
        <w:ind w:left="360"/>
        <w:contextualSpacing/>
        <w:rPr>
          <w:sz w:val="20"/>
        </w:rPr>
      </w:pPr>
      <w:r w:rsidRPr="00174E26">
        <w:rPr>
          <w:sz w:val="20"/>
        </w:rPr>
        <w:t>Glazing systems – glass assemblies:</w:t>
      </w:r>
      <w:r>
        <w:rPr>
          <w:sz w:val="20"/>
        </w:rPr>
        <w:t xml:space="preserve"> </w:t>
      </w:r>
      <w:r w:rsidRPr="00174E26">
        <w:rPr>
          <w:sz w:val="20"/>
        </w:rPr>
        <w:t>Viracon, Inc.</w:t>
      </w:r>
      <w:r w:rsidR="00447C65">
        <w:rPr>
          <w:sz w:val="20"/>
        </w:rPr>
        <w:t>, an Apogee Enterprises company</w:t>
      </w:r>
      <w:r w:rsidRPr="00174E26">
        <w:rPr>
          <w:sz w:val="20"/>
        </w:rPr>
        <w:t>; Owatonna, Minn</w:t>
      </w:r>
      <w:r>
        <w:rPr>
          <w:sz w:val="20"/>
        </w:rPr>
        <w:t xml:space="preserve">esota; </w:t>
      </w:r>
      <w:r w:rsidRPr="00174E26">
        <w:rPr>
          <w:sz w:val="20"/>
        </w:rPr>
        <w:t>http://www.viracon.com</w:t>
      </w:r>
    </w:p>
    <w:p w14:paraId="27B898E9" w14:textId="5BCF32EA" w:rsidR="00B408A1" w:rsidRPr="00AE5365" w:rsidRDefault="00B408A1" w:rsidP="0090198D">
      <w:pPr>
        <w:pStyle w:val="BodyText"/>
        <w:numPr>
          <w:ilvl w:val="0"/>
          <w:numId w:val="10"/>
        </w:numPr>
        <w:spacing w:after="0"/>
        <w:ind w:left="360"/>
        <w:contextualSpacing/>
        <w:rPr>
          <w:sz w:val="20"/>
        </w:rPr>
      </w:pPr>
      <w:r w:rsidRPr="00AE5365">
        <w:rPr>
          <w:sz w:val="20"/>
        </w:rPr>
        <w:t>Glazing systems – finisher:</w:t>
      </w:r>
      <w:r>
        <w:rPr>
          <w:sz w:val="20"/>
        </w:rPr>
        <w:t xml:space="preserve"> </w:t>
      </w:r>
      <w:r w:rsidRPr="00AE5365">
        <w:rPr>
          <w:sz w:val="20"/>
        </w:rPr>
        <w:t>Linetec</w:t>
      </w:r>
      <w:r w:rsidR="00447C65">
        <w:rPr>
          <w:sz w:val="20"/>
        </w:rPr>
        <w:t>, an Apogee Enterprises company</w:t>
      </w:r>
      <w:r w:rsidRPr="00AE5365">
        <w:rPr>
          <w:sz w:val="20"/>
        </w:rPr>
        <w:t>, Wausau, Wis</w:t>
      </w:r>
      <w:r>
        <w:rPr>
          <w:sz w:val="20"/>
        </w:rPr>
        <w:t xml:space="preserve">consin; </w:t>
      </w:r>
      <w:r w:rsidRPr="00174E26">
        <w:rPr>
          <w:sz w:val="20"/>
        </w:rPr>
        <w:t>https://linetec.com</w:t>
      </w:r>
    </w:p>
    <w:p w14:paraId="797BC121" w14:textId="77777777" w:rsidR="00BD5168" w:rsidRDefault="00BD5168" w:rsidP="0090198D">
      <w:pPr>
        <w:pStyle w:val="BodyText"/>
        <w:numPr>
          <w:ilvl w:val="0"/>
          <w:numId w:val="10"/>
        </w:numPr>
        <w:spacing w:after="0"/>
        <w:ind w:left="360"/>
        <w:contextualSpacing/>
        <w:rPr>
          <w:sz w:val="20"/>
          <w:szCs w:val="20"/>
        </w:rPr>
      </w:pPr>
      <w:r w:rsidRPr="0021412C">
        <w:rPr>
          <w:sz w:val="20"/>
          <w:szCs w:val="20"/>
        </w:rPr>
        <w:t>Photos by:</w:t>
      </w:r>
    </w:p>
    <w:p w14:paraId="1BACF6FE" w14:textId="6A0FD240" w:rsidR="00BD5168" w:rsidRPr="0021412C" w:rsidRDefault="00BD5168" w:rsidP="0090198D">
      <w:pPr>
        <w:pStyle w:val="BodyText"/>
        <w:spacing w:after="0"/>
        <w:ind w:left="360"/>
        <w:contextualSpacing/>
        <w:rPr>
          <w:sz w:val="20"/>
          <w:szCs w:val="20"/>
        </w:rPr>
      </w:pPr>
      <w:r w:rsidRPr="0021412C">
        <w:rPr>
          <w:sz w:val="20"/>
          <w:szCs w:val="20"/>
        </w:rPr>
        <w:t>Mark Long</w:t>
      </w:r>
      <w:r>
        <w:rPr>
          <w:sz w:val="20"/>
          <w:szCs w:val="20"/>
        </w:rPr>
        <w:t xml:space="preserve">, exterior </w:t>
      </w:r>
      <w:r w:rsidRPr="0021412C">
        <w:rPr>
          <w:sz w:val="20"/>
          <w:szCs w:val="20"/>
        </w:rPr>
        <w:t>2013</w:t>
      </w:r>
    </w:p>
    <w:p w14:paraId="558C263E" w14:textId="5C8C6021" w:rsidR="00BD5168" w:rsidRDefault="00BD5168" w:rsidP="0090198D">
      <w:pPr>
        <w:pStyle w:val="BodyText"/>
        <w:spacing w:after="0"/>
        <w:ind w:left="360"/>
        <w:contextualSpacing/>
        <w:rPr>
          <w:sz w:val="20"/>
          <w:szCs w:val="20"/>
        </w:rPr>
      </w:pPr>
      <w:r w:rsidRPr="0021412C">
        <w:rPr>
          <w:sz w:val="20"/>
          <w:szCs w:val="20"/>
        </w:rPr>
        <w:t>Carol Highsmith, courtesy of the Library of Congress</w:t>
      </w:r>
      <w:r>
        <w:rPr>
          <w:sz w:val="20"/>
          <w:szCs w:val="20"/>
        </w:rPr>
        <w:t>, 2</w:t>
      </w:r>
      <w:r w:rsidRPr="0021412C">
        <w:rPr>
          <w:sz w:val="20"/>
          <w:szCs w:val="20"/>
        </w:rPr>
        <w:t>006</w:t>
      </w:r>
    </w:p>
    <w:p w14:paraId="579B6BCD" w14:textId="77777777" w:rsidR="00106138" w:rsidRPr="00106138" w:rsidRDefault="00106138" w:rsidP="0090198D">
      <w:pPr>
        <w:spacing w:after="0" w:line="240" w:lineRule="auto"/>
        <w:contextualSpacing/>
        <w:rPr>
          <w:color w:val="000000" w:themeColor="text1"/>
        </w:rPr>
      </w:pPr>
    </w:p>
    <w:p w14:paraId="4E123DBE" w14:textId="09FC50EF" w:rsidR="0072026F" w:rsidRPr="001C6229" w:rsidRDefault="007F339E" w:rsidP="0090198D">
      <w:pPr>
        <w:spacing w:after="0" w:line="240" w:lineRule="auto"/>
        <w:contextualSpacing/>
      </w:pPr>
      <w:r w:rsidRPr="001C6229">
        <w:rPr>
          <w:color w:val="000000" w:themeColor="text1"/>
        </w:rPr>
        <w:lastRenderedPageBreak/>
        <w:t>T</w:t>
      </w:r>
      <w:r w:rsidR="0072026F" w:rsidRPr="001C6229">
        <w:rPr>
          <w:color w:val="000000" w:themeColor="text1"/>
        </w:rPr>
        <w:t xml:space="preserve">o learn more about Apogee’s Building Retrofit Strategy Team’s </w:t>
      </w:r>
      <w:r w:rsidR="008C3883" w:rsidRPr="001C6229">
        <w:rPr>
          <w:color w:val="000000" w:themeColor="text1"/>
        </w:rPr>
        <w:t xml:space="preserve">personnel, </w:t>
      </w:r>
      <w:r w:rsidR="0072026F" w:rsidRPr="001C6229">
        <w:rPr>
          <w:color w:val="000000" w:themeColor="text1"/>
        </w:rPr>
        <w:t xml:space="preserve">services and success </w:t>
      </w:r>
      <w:r w:rsidR="0072026F" w:rsidRPr="001C6229">
        <w:t xml:space="preserve">stories, please visit </w:t>
      </w:r>
      <w:hyperlink r:id="rId7" w:history="1">
        <w:r w:rsidR="0072026F" w:rsidRPr="001C6229">
          <w:rPr>
            <w:rStyle w:val="Hyperlink"/>
          </w:rPr>
          <w:t>http://apog.com/renovation.html</w:t>
        </w:r>
      </w:hyperlink>
      <w:r w:rsidR="0072026F" w:rsidRPr="001C6229">
        <w:t xml:space="preserve"> or contact </w:t>
      </w:r>
      <w:r w:rsidR="001C6229">
        <w:t>Michelle Murray at mimurray@apog.com</w:t>
      </w:r>
      <w:r w:rsidR="0072026F" w:rsidRPr="001C6229">
        <w:t xml:space="preserve">, </w:t>
      </w:r>
      <w:r w:rsidR="001C6229">
        <w:t>415-470-0082</w:t>
      </w:r>
      <w:r w:rsidR="0072026F" w:rsidRPr="001C6229">
        <w:t>.</w:t>
      </w:r>
    </w:p>
    <w:p w14:paraId="2CD77D36" w14:textId="77777777" w:rsidR="0072026F" w:rsidRPr="001C6229" w:rsidRDefault="0072026F" w:rsidP="0090198D">
      <w:pPr>
        <w:spacing w:after="0" w:line="240" w:lineRule="auto"/>
        <w:contextualSpacing/>
      </w:pPr>
    </w:p>
    <w:p w14:paraId="32E5A6B8" w14:textId="5685FD03" w:rsidR="00666270" w:rsidRPr="001C6229" w:rsidRDefault="00666270" w:rsidP="0090198D">
      <w:pPr>
        <w:spacing w:after="0" w:line="240" w:lineRule="auto"/>
        <w:contextualSpacing/>
        <w:rPr>
          <w:i/>
          <w:sz w:val="18"/>
          <w:szCs w:val="18"/>
        </w:rPr>
      </w:pPr>
      <w:r w:rsidRPr="001C6229">
        <w:rPr>
          <w:i/>
          <w:sz w:val="18"/>
          <w:szCs w:val="18"/>
        </w:rPr>
        <w:t xml:space="preserve">Apogee Enterprises, Inc.’s Building Retrofit Strategy Team, in conjunction with its businesses, assists building owners and property managers </w:t>
      </w:r>
      <w:r w:rsidR="00340794" w:rsidRPr="001C6229">
        <w:rPr>
          <w:i/>
          <w:sz w:val="18"/>
          <w:szCs w:val="18"/>
        </w:rPr>
        <w:t xml:space="preserve">to </w:t>
      </w:r>
      <w:r w:rsidRPr="001C6229">
        <w:rPr>
          <w:i/>
          <w:sz w:val="18"/>
          <w:szCs w:val="18"/>
        </w:rPr>
        <w:t>evaluate the benefits of window renovation and upgrades, such as improving the appearance of the building, saving energy, downsizing HVAC loading, reducing maintenance, lowering vacancy rates, increasing rental rates and enhancing the value of the building.</w:t>
      </w:r>
    </w:p>
    <w:p w14:paraId="2F39AEB2" w14:textId="77777777" w:rsidR="00666270" w:rsidRPr="001C6229" w:rsidRDefault="00666270" w:rsidP="0090198D">
      <w:pPr>
        <w:spacing w:after="0" w:line="240" w:lineRule="auto"/>
        <w:contextualSpacing/>
        <w:rPr>
          <w:i/>
          <w:sz w:val="18"/>
          <w:szCs w:val="18"/>
        </w:rPr>
      </w:pPr>
    </w:p>
    <w:p w14:paraId="52EFB1F0" w14:textId="77777777" w:rsidR="00666270" w:rsidRPr="0072026F" w:rsidRDefault="00666270" w:rsidP="0090198D">
      <w:pPr>
        <w:spacing w:after="0" w:line="240" w:lineRule="auto"/>
        <w:contextualSpacing/>
        <w:rPr>
          <w:i/>
          <w:sz w:val="18"/>
          <w:szCs w:val="18"/>
        </w:rPr>
      </w:pPr>
      <w:r w:rsidRPr="001C6229">
        <w:rPr>
          <w:i/>
          <w:sz w:val="18"/>
          <w:szCs w:val="18"/>
        </w:rPr>
        <w:t>Apogee’s business units supporting these building r</w:t>
      </w:r>
      <w:r w:rsidRPr="0072026F">
        <w:rPr>
          <w:i/>
          <w:sz w:val="18"/>
          <w:szCs w:val="18"/>
        </w:rPr>
        <w:t>etrofit strategies include Alumicor; EFCO Corporation; Harmon, Inc.; Linetec; Sotawall; Tubelite Inc.; Viracon, Inc.; and Wausau Window and Wall Systems.</w:t>
      </w:r>
    </w:p>
    <w:p w14:paraId="37AE2191" w14:textId="5EB17893" w:rsidR="005520F4" w:rsidRPr="0072026F" w:rsidRDefault="00666270" w:rsidP="0090198D">
      <w:pPr>
        <w:spacing w:after="0" w:line="240" w:lineRule="auto"/>
        <w:contextualSpacing/>
        <w:jc w:val="center"/>
        <w:rPr>
          <w:i/>
          <w:sz w:val="18"/>
          <w:szCs w:val="18"/>
        </w:rPr>
      </w:pPr>
      <w:r w:rsidRPr="0072026F">
        <w:rPr>
          <w:i/>
          <w:sz w:val="18"/>
          <w:szCs w:val="18"/>
        </w:rPr>
        <w:t>###</w:t>
      </w:r>
    </w:p>
    <w:sectPr w:rsidR="005520F4" w:rsidRPr="0072026F" w:rsidSect="006748C8">
      <w:headerReference w:type="default" r:id="rId8"/>
      <w:footerReference w:type="default" r:id="rId9"/>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CC860" w14:textId="77777777" w:rsidR="008971D0" w:rsidRDefault="008971D0">
      <w:r>
        <w:separator/>
      </w:r>
    </w:p>
  </w:endnote>
  <w:endnote w:type="continuationSeparator" w:id="0">
    <w:p w14:paraId="499DCFB6" w14:textId="77777777" w:rsidR="008971D0" w:rsidRDefault="0089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utura">
    <w:panose1 w:val="020B0602020204020303"/>
    <w:charset w:val="00"/>
    <w:family w:val="swiss"/>
    <w:pitch w:val="variable"/>
    <w:sig w:usb0="80000867" w:usb1="5000214A" w:usb2="00000000" w:usb3="00000000" w:csb0="000001FF" w:csb1="00000000"/>
  </w:font>
  <w:font w:name="Futura Medium">
    <w:panose1 w:val="020B0602020204020303"/>
    <w:charset w:val="B1"/>
    <w:family w:val="swiss"/>
    <w:pitch w:val="variable"/>
    <w:sig w:usb0="80000067" w:usb1="00000000" w:usb2="00000000" w:usb3="00000000" w:csb0="000001F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2AD2" w14:textId="77777777" w:rsidR="00E27EB5" w:rsidRDefault="00E27EB5">
    <w:pPr>
      <w:pStyle w:val="Footer"/>
    </w:pPr>
    <w:r>
      <w:rPr>
        <w:noProof/>
      </w:rPr>
      <mc:AlternateContent>
        <mc:Choice Requires="wps">
          <w:drawing>
            <wp:anchor distT="0" distB="0" distL="114300" distR="114300" simplePos="0" relativeHeight="251658240" behindDoc="0" locked="0" layoutInCell="1" allowOverlap="1" wp14:anchorId="206781A0" wp14:editId="3DE48A74">
              <wp:simplePos x="0" y="0"/>
              <wp:positionH relativeFrom="page">
                <wp:posOffset>1257300</wp:posOffset>
              </wp:positionH>
              <wp:positionV relativeFrom="page">
                <wp:posOffset>9455150</wp:posOffset>
              </wp:positionV>
              <wp:extent cx="5257800" cy="457200"/>
              <wp:effectExtent l="0" t="635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47E1" w14:textId="77777777" w:rsidR="00E27EB5" w:rsidRDefault="00E27EB5"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E27EB5" w:rsidRPr="00184794" w:rsidRDefault="00E27EB5"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81A0" id="_x0000_t202" coordsize="21600,21600" o:spt="202" path="m,l,21600r21600,l21600,xe">
              <v:stroke joinstyle="miter"/>
              <v:path gradientshapeok="t" o:connecttype="rect"/>
            </v:shapetype>
            <v:shape id="Text Box 3" o:spid="_x0000_s1026" type="#_x0000_t202" style="position:absolute;margin-left:99pt;margin-top:744.5pt;width:41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" filled="f" stroked="f">
              <v:textbox>
                <w:txbxContent>
                  <w:p w14:paraId="03A047E1" w14:textId="77777777" w:rsidR="008C3883" w:rsidRDefault="008C3883"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8C3883" w:rsidRPr="00184794" w:rsidRDefault="008C3883"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2A478" w14:textId="77777777" w:rsidR="008971D0" w:rsidRDefault="008971D0">
      <w:r>
        <w:separator/>
      </w:r>
    </w:p>
  </w:footnote>
  <w:footnote w:type="continuationSeparator" w:id="0">
    <w:p w14:paraId="5EE9BE3E" w14:textId="77777777" w:rsidR="008971D0" w:rsidRDefault="0089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B061" w14:textId="77777777" w:rsidR="00E27EB5" w:rsidRDefault="00E27EB5">
    <w:pPr>
      <w:pStyle w:val="Header"/>
    </w:pPr>
    <w:r>
      <w:rPr>
        <w:noProof/>
      </w:rPr>
      <w:drawing>
        <wp:anchor distT="0" distB="0" distL="114300" distR="114300" simplePos="0" relativeHeight="251657216" behindDoc="0" locked="0" layoutInCell="1" allowOverlap="1" wp14:anchorId="20FB4DF2" wp14:editId="2C007346">
          <wp:simplePos x="0" y="0"/>
          <wp:positionH relativeFrom="page">
            <wp:posOffset>631190</wp:posOffset>
          </wp:positionH>
          <wp:positionV relativeFrom="page">
            <wp:posOffset>475615</wp:posOffset>
          </wp:positionV>
          <wp:extent cx="1485900" cy="1266825"/>
          <wp:effectExtent l="0" t="0" r="12700" b="3175"/>
          <wp:wrapNone/>
          <wp:docPr id="3" name="Picture 3" descr="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gee"/>
                  <pic:cNvPicPr>
                    <a:picLocks noChangeAspect="1" noChangeArrowheads="1"/>
                  </pic:cNvPicPr>
                </pic:nvPicPr>
                <pic:blipFill rotWithShape="1">
                  <a:blip r:embed="rId1">
                    <a:extLst>
                      <a:ext uri="{28A0092B-C50C-407E-A947-70E740481C1C}">
                        <a14:useLocalDpi xmlns:a14="http://schemas.microsoft.com/office/drawing/2010/main" val="0"/>
                      </a:ext>
                    </a:extLst>
                  </a:blip>
                  <a:srcRect t="-7027"/>
                  <a:stretch/>
                </pic:blipFill>
                <pic:spPr bwMode="auto">
                  <a:xfrm>
                    <a:off x="0" y="0"/>
                    <a:ext cx="14859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28A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46436"/>
    <w:multiLevelType w:val="hybridMultilevel"/>
    <w:tmpl w:val="782EFB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26A2F85"/>
    <w:multiLevelType w:val="hybridMultilevel"/>
    <w:tmpl w:val="A0C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616870"/>
    <w:multiLevelType w:val="hybridMultilevel"/>
    <w:tmpl w:val="AF62B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3610DE"/>
    <w:multiLevelType w:val="hybridMultilevel"/>
    <w:tmpl w:val="95D0E6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A753B1"/>
    <w:multiLevelType w:val="hybridMultilevel"/>
    <w:tmpl w:val="C6D2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C7326EF"/>
    <w:multiLevelType w:val="hybridMultilevel"/>
    <w:tmpl w:val="D480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B557F2"/>
    <w:multiLevelType w:val="hybridMultilevel"/>
    <w:tmpl w:val="51C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5E4531"/>
    <w:multiLevelType w:val="hybridMultilevel"/>
    <w:tmpl w:val="D84EB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7"/>
  </w:num>
  <w:num w:numId="6">
    <w:abstractNumId w:val="3"/>
  </w:num>
  <w:num w:numId="7">
    <w:abstractNumId w:val="8"/>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A70"/>
    <w:rsid w:val="00002532"/>
    <w:rsid w:val="0000255E"/>
    <w:rsid w:val="00004769"/>
    <w:rsid w:val="00012D78"/>
    <w:rsid w:val="00012EFA"/>
    <w:rsid w:val="00013D42"/>
    <w:rsid w:val="00017724"/>
    <w:rsid w:val="00020970"/>
    <w:rsid w:val="00022F91"/>
    <w:rsid w:val="0002396C"/>
    <w:rsid w:val="0002593A"/>
    <w:rsid w:val="00026AF1"/>
    <w:rsid w:val="00027DDB"/>
    <w:rsid w:val="0003386B"/>
    <w:rsid w:val="00034640"/>
    <w:rsid w:val="00037185"/>
    <w:rsid w:val="000431CC"/>
    <w:rsid w:val="00046EFB"/>
    <w:rsid w:val="00053211"/>
    <w:rsid w:val="00065659"/>
    <w:rsid w:val="00070320"/>
    <w:rsid w:val="00072A91"/>
    <w:rsid w:val="00073D4F"/>
    <w:rsid w:val="00075D01"/>
    <w:rsid w:val="00076833"/>
    <w:rsid w:val="00084C5A"/>
    <w:rsid w:val="0009035B"/>
    <w:rsid w:val="00090BCD"/>
    <w:rsid w:val="00093C0F"/>
    <w:rsid w:val="000A3AE6"/>
    <w:rsid w:val="000A6535"/>
    <w:rsid w:val="000A77E1"/>
    <w:rsid w:val="000B19E6"/>
    <w:rsid w:val="000B1EAD"/>
    <w:rsid w:val="000B2B28"/>
    <w:rsid w:val="000C053D"/>
    <w:rsid w:val="000C526A"/>
    <w:rsid w:val="000C6FC8"/>
    <w:rsid w:val="000D2949"/>
    <w:rsid w:val="000F2F2A"/>
    <w:rsid w:val="000F4AE0"/>
    <w:rsid w:val="00106138"/>
    <w:rsid w:val="001101F0"/>
    <w:rsid w:val="00113DA4"/>
    <w:rsid w:val="00117D9E"/>
    <w:rsid w:val="00121559"/>
    <w:rsid w:val="00125FB7"/>
    <w:rsid w:val="00130045"/>
    <w:rsid w:val="00136C57"/>
    <w:rsid w:val="001416BE"/>
    <w:rsid w:val="00141D26"/>
    <w:rsid w:val="00144D71"/>
    <w:rsid w:val="00150BF8"/>
    <w:rsid w:val="001556A3"/>
    <w:rsid w:val="00156A5B"/>
    <w:rsid w:val="001612E7"/>
    <w:rsid w:val="00164399"/>
    <w:rsid w:val="001661B2"/>
    <w:rsid w:val="00184794"/>
    <w:rsid w:val="001870CA"/>
    <w:rsid w:val="00195835"/>
    <w:rsid w:val="001A22FA"/>
    <w:rsid w:val="001A32B7"/>
    <w:rsid w:val="001A36A7"/>
    <w:rsid w:val="001A7245"/>
    <w:rsid w:val="001B5A4E"/>
    <w:rsid w:val="001C6229"/>
    <w:rsid w:val="001D1172"/>
    <w:rsid w:val="001D2215"/>
    <w:rsid w:val="001D2DC9"/>
    <w:rsid w:val="001D33EA"/>
    <w:rsid w:val="001D55B4"/>
    <w:rsid w:val="001D71EB"/>
    <w:rsid w:val="001D7926"/>
    <w:rsid w:val="001E26D1"/>
    <w:rsid w:val="001E6E36"/>
    <w:rsid w:val="001F663B"/>
    <w:rsid w:val="00201C6C"/>
    <w:rsid w:val="002077AE"/>
    <w:rsid w:val="00211CB9"/>
    <w:rsid w:val="00220D6A"/>
    <w:rsid w:val="002249F0"/>
    <w:rsid w:val="0022609F"/>
    <w:rsid w:val="00226AF0"/>
    <w:rsid w:val="00230015"/>
    <w:rsid w:val="00234277"/>
    <w:rsid w:val="002406EB"/>
    <w:rsid w:val="00245CD5"/>
    <w:rsid w:val="0024745C"/>
    <w:rsid w:val="0025351A"/>
    <w:rsid w:val="00257089"/>
    <w:rsid w:val="00257D24"/>
    <w:rsid w:val="002602F3"/>
    <w:rsid w:val="00261123"/>
    <w:rsid w:val="00262311"/>
    <w:rsid w:val="00271099"/>
    <w:rsid w:val="00273E47"/>
    <w:rsid w:val="00275109"/>
    <w:rsid w:val="002754B5"/>
    <w:rsid w:val="0028611E"/>
    <w:rsid w:val="002918FF"/>
    <w:rsid w:val="0029261B"/>
    <w:rsid w:val="002928E6"/>
    <w:rsid w:val="00294A08"/>
    <w:rsid w:val="00296767"/>
    <w:rsid w:val="002A091B"/>
    <w:rsid w:val="002A4F03"/>
    <w:rsid w:val="002A6E9C"/>
    <w:rsid w:val="002D710F"/>
    <w:rsid w:val="002E1770"/>
    <w:rsid w:val="002E1A6C"/>
    <w:rsid w:val="002E4249"/>
    <w:rsid w:val="002F2EF4"/>
    <w:rsid w:val="003029B3"/>
    <w:rsid w:val="00302F4A"/>
    <w:rsid w:val="003119B8"/>
    <w:rsid w:val="00314933"/>
    <w:rsid w:val="003161AC"/>
    <w:rsid w:val="00316B00"/>
    <w:rsid w:val="00317533"/>
    <w:rsid w:val="0032175C"/>
    <w:rsid w:val="00324C62"/>
    <w:rsid w:val="00331C65"/>
    <w:rsid w:val="00332DAD"/>
    <w:rsid w:val="0034043A"/>
    <w:rsid w:val="00340794"/>
    <w:rsid w:val="00341B6C"/>
    <w:rsid w:val="003447AC"/>
    <w:rsid w:val="00347190"/>
    <w:rsid w:val="00347240"/>
    <w:rsid w:val="00347B60"/>
    <w:rsid w:val="00351C86"/>
    <w:rsid w:val="00356F2A"/>
    <w:rsid w:val="00357463"/>
    <w:rsid w:val="00371A6D"/>
    <w:rsid w:val="00374E93"/>
    <w:rsid w:val="003772B7"/>
    <w:rsid w:val="003776E5"/>
    <w:rsid w:val="00381013"/>
    <w:rsid w:val="00381A89"/>
    <w:rsid w:val="003964D3"/>
    <w:rsid w:val="003A0AED"/>
    <w:rsid w:val="003A4BC2"/>
    <w:rsid w:val="003A545A"/>
    <w:rsid w:val="003B1EAA"/>
    <w:rsid w:val="003B4098"/>
    <w:rsid w:val="003B4669"/>
    <w:rsid w:val="003B6B5D"/>
    <w:rsid w:val="003C3A1F"/>
    <w:rsid w:val="003C5984"/>
    <w:rsid w:val="003E1846"/>
    <w:rsid w:val="003E4226"/>
    <w:rsid w:val="003E74D1"/>
    <w:rsid w:val="003F1EB3"/>
    <w:rsid w:val="003F6E5D"/>
    <w:rsid w:val="004011B6"/>
    <w:rsid w:val="00401CCB"/>
    <w:rsid w:val="00403CF5"/>
    <w:rsid w:val="00404233"/>
    <w:rsid w:val="00404A7B"/>
    <w:rsid w:val="00410172"/>
    <w:rsid w:val="00424405"/>
    <w:rsid w:val="00426A70"/>
    <w:rsid w:val="0042719A"/>
    <w:rsid w:val="00432143"/>
    <w:rsid w:val="0043397E"/>
    <w:rsid w:val="00443C3A"/>
    <w:rsid w:val="00443C9F"/>
    <w:rsid w:val="00446F4A"/>
    <w:rsid w:val="00447264"/>
    <w:rsid w:val="00447C65"/>
    <w:rsid w:val="00453517"/>
    <w:rsid w:val="00454A63"/>
    <w:rsid w:val="004650CA"/>
    <w:rsid w:val="00466066"/>
    <w:rsid w:val="00474EBD"/>
    <w:rsid w:val="00477B2F"/>
    <w:rsid w:val="00483010"/>
    <w:rsid w:val="00483860"/>
    <w:rsid w:val="00484BB2"/>
    <w:rsid w:val="004A38E4"/>
    <w:rsid w:val="004A402B"/>
    <w:rsid w:val="004A461A"/>
    <w:rsid w:val="004A5723"/>
    <w:rsid w:val="004B263A"/>
    <w:rsid w:val="004B3AE2"/>
    <w:rsid w:val="004C1767"/>
    <w:rsid w:val="004C185C"/>
    <w:rsid w:val="004C4E77"/>
    <w:rsid w:val="004C71B3"/>
    <w:rsid w:val="004C724C"/>
    <w:rsid w:val="004D3237"/>
    <w:rsid w:val="004E01BD"/>
    <w:rsid w:val="004E281A"/>
    <w:rsid w:val="004F4F13"/>
    <w:rsid w:val="004F599E"/>
    <w:rsid w:val="004F6BCC"/>
    <w:rsid w:val="00502219"/>
    <w:rsid w:val="00513D95"/>
    <w:rsid w:val="00517D7C"/>
    <w:rsid w:val="00523E69"/>
    <w:rsid w:val="005241CD"/>
    <w:rsid w:val="00526FA9"/>
    <w:rsid w:val="00531AFF"/>
    <w:rsid w:val="005322CA"/>
    <w:rsid w:val="0053553F"/>
    <w:rsid w:val="005441F0"/>
    <w:rsid w:val="00546E70"/>
    <w:rsid w:val="005520F4"/>
    <w:rsid w:val="005535C4"/>
    <w:rsid w:val="005559C5"/>
    <w:rsid w:val="00555D92"/>
    <w:rsid w:val="0056033B"/>
    <w:rsid w:val="00560C27"/>
    <w:rsid w:val="0056725C"/>
    <w:rsid w:val="00567DA3"/>
    <w:rsid w:val="00576B7B"/>
    <w:rsid w:val="00580F96"/>
    <w:rsid w:val="00581AF8"/>
    <w:rsid w:val="00583186"/>
    <w:rsid w:val="005840EC"/>
    <w:rsid w:val="005911EF"/>
    <w:rsid w:val="00594184"/>
    <w:rsid w:val="00594F54"/>
    <w:rsid w:val="0059737D"/>
    <w:rsid w:val="005A31A9"/>
    <w:rsid w:val="005A644A"/>
    <w:rsid w:val="005A6DDC"/>
    <w:rsid w:val="005A716C"/>
    <w:rsid w:val="005B1571"/>
    <w:rsid w:val="005B203C"/>
    <w:rsid w:val="005B4F14"/>
    <w:rsid w:val="005C1A89"/>
    <w:rsid w:val="005C1CE1"/>
    <w:rsid w:val="005C4F5D"/>
    <w:rsid w:val="005C51B3"/>
    <w:rsid w:val="005D2796"/>
    <w:rsid w:val="005D2962"/>
    <w:rsid w:val="005D7D55"/>
    <w:rsid w:val="005E04EE"/>
    <w:rsid w:val="005E36D8"/>
    <w:rsid w:val="005E6F47"/>
    <w:rsid w:val="005F0DC6"/>
    <w:rsid w:val="005F3E60"/>
    <w:rsid w:val="005F55A7"/>
    <w:rsid w:val="005F5AA6"/>
    <w:rsid w:val="006010A5"/>
    <w:rsid w:val="00601401"/>
    <w:rsid w:val="006052A5"/>
    <w:rsid w:val="00612416"/>
    <w:rsid w:val="00620768"/>
    <w:rsid w:val="00622668"/>
    <w:rsid w:val="00624D1E"/>
    <w:rsid w:val="006354FD"/>
    <w:rsid w:val="006442BE"/>
    <w:rsid w:val="00650BC4"/>
    <w:rsid w:val="006511FC"/>
    <w:rsid w:val="00664EC8"/>
    <w:rsid w:val="00666270"/>
    <w:rsid w:val="00667964"/>
    <w:rsid w:val="00670612"/>
    <w:rsid w:val="00671883"/>
    <w:rsid w:val="006748C8"/>
    <w:rsid w:val="00685D09"/>
    <w:rsid w:val="00686B91"/>
    <w:rsid w:val="006A45DE"/>
    <w:rsid w:val="006A6C42"/>
    <w:rsid w:val="006B07EC"/>
    <w:rsid w:val="006B197C"/>
    <w:rsid w:val="006B4FA4"/>
    <w:rsid w:val="006C086E"/>
    <w:rsid w:val="006C2A0E"/>
    <w:rsid w:val="006C368A"/>
    <w:rsid w:val="006C3A30"/>
    <w:rsid w:val="006D4533"/>
    <w:rsid w:val="006D5770"/>
    <w:rsid w:val="006D58F3"/>
    <w:rsid w:val="006E1176"/>
    <w:rsid w:val="006E661A"/>
    <w:rsid w:val="006F0961"/>
    <w:rsid w:val="006F27BD"/>
    <w:rsid w:val="00701BCC"/>
    <w:rsid w:val="0071348C"/>
    <w:rsid w:val="0072026F"/>
    <w:rsid w:val="00721B44"/>
    <w:rsid w:val="00731EB1"/>
    <w:rsid w:val="00736B3F"/>
    <w:rsid w:val="00740881"/>
    <w:rsid w:val="007411DD"/>
    <w:rsid w:val="00743818"/>
    <w:rsid w:val="007444F0"/>
    <w:rsid w:val="00752091"/>
    <w:rsid w:val="00754FF6"/>
    <w:rsid w:val="0075546C"/>
    <w:rsid w:val="00756162"/>
    <w:rsid w:val="00756294"/>
    <w:rsid w:val="00762E6D"/>
    <w:rsid w:val="00773140"/>
    <w:rsid w:val="00774F58"/>
    <w:rsid w:val="00780B5A"/>
    <w:rsid w:val="00784724"/>
    <w:rsid w:val="00790C7B"/>
    <w:rsid w:val="00793CEF"/>
    <w:rsid w:val="00795E70"/>
    <w:rsid w:val="007A5EBE"/>
    <w:rsid w:val="007A618E"/>
    <w:rsid w:val="007B0EC5"/>
    <w:rsid w:val="007B27D2"/>
    <w:rsid w:val="007B69B4"/>
    <w:rsid w:val="007B7D72"/>
    <w:rsid w:val="007C3834"/>
    <w:rsid w:val="007C70A6"/>
    <w:rsid w:val="007D28A5"/>
    <w:rsid w:val="007D391B"/>
    <w:rsid w:val="007E088D"/>
    <w:rsid w:val="007E2C1F"/>
    <w:rsid w:val="007E40C6"/>
    <w:rsid w:val="007E4197"/>
    <w:rsid w:val="007E5065"/>
    <w:rsid w:val="007F339E"/>
    <w:rsid w:val="008029EE"/>
    <w:rsid w:val="008130AD"/>
    <w:rsid w:val="00817219"/>
    <w:rsid w:val="00820F80"/>
    <w:rsid w:val="008265AE"/>
    <w:rsid w:val="0082738B"/>
    <w:rsid w:val="008431E9"/>
    <w:rsid w:val="00843B93"/>
    <w:rsid w:val="00845FFC"/>
    <w:rsid w:val="00846614"/>
    <w:rsid w:val="00847213"/>
    <w:rsid w:val="0085031E"/>
    <w:rsid w:val="0085044A"/>
    <w:rsid w:val="00851AA2"/>
    <w:rsid w:val="008535FA"/>
    <w:rsid w:val="00854EDE"/>
    <w:rsid w:val="0086096E"/>
    <w:rsid w:val="00863710"/>
    <w:rsid w:val="00865206"/>
    <w:rsid w:val="008707A2"/>
    <w:rsid w:val="00881697"/>
    <w:rsid w:val="0088185D"/>
    <w:rsid w:val="00892CB2"/>
    <w:rsid w:val="008971D0"/>
    <w:rsid w:val="00897454"/>
    <w:rsid w:val="00897A06"/>
    <w:rsid w:val="008A01D5"/>
    <w:rsid w:val="008A05EE"/>
    <w:rsid w:val="008A5A19"/>
    <w:rsid w:val="008B0BA2"/>
    <w:rsid w:val="008B293A"/>
    <w:rsid w:val="008B7D54"/>
    <w:rsid w:val="008C0517"/>
    <w:rsid w:val="008C3883"/>
    <w:rsid w:val="008C4014"/>
    <w:rsid w:val="008C412B"/>
    <w:rsid w:val="008C4EFE"/>
    <w:rsid w:val="008D04A5"/>
    <w:rsid w:val="008D41F5"/>
    <w:rsid w:val="008D659C"/>
    <w:rsid w:val="008E47B4"/>
    <w:rsid w:val="008F085F"/>
    <w:rsid w:val="008F2A05"/>
    <w:rsid w:val="008F5355"/>
    <w:rsid w:val="009005DB"/>
    <w:rsid w:val="0090198D"/>
    <w:rsid w:val="00901DF4"/>
    <w:rsid w:val="00905E7A"/>
    <w:rsid w:val="009251B1"/>
    <w:rsid w:val="009421EF"/>
    <w:rsid w:val="00944E61"/>
    <w:rsid w:val="009458B6"/>
    <w:rsid w:val="00947F40"/>
    <w:rsid w:val="00952560"/>
    <w:rsid w:val="0095608B"/>
    <w:rsid w:val="00963AA8"/>
    <w:rsid w:val="00970883"/>
    <w:rsid w:val="00970FDA"/>
    <w:rsid w:val="00975C49"/>
    <w:rsid w:val="00976038"/>
    <w:rsid w:val="00980994"/>
    <w:rsid w:val="0098268A"/>
    <w:rsid w:val="009827CD"/>
    <w:rsid w:val="00984536"/>
    <w:rsid w:val="00987D2C"/>
    <w:rsid w:val="00987D64"/>
    <w:rsid w:val="009978FE"/>
    <w:rsid w:val="009A2DE3"/>
    <w:rsid w:val="009A5987"/>
    <w:rsid w:val="009A6664"/>
    <w:rsid w:val="009A7AA4"/>
    <w:rsid w:val="009B4080"/>
    <w:rsid w:val="009C6EF4"/>
    <w:rsid w:val="009C77A7"/>
    <w:rsid w:val="009D0BD4"/>
    <w:rsid w:val="009D1022"/>
    <w:rsid w:val="009D1701"/>
    <w:rsid w:val="009D756E"/>
    <w:rsid w:val="009F232A"/>
    <w:rsid w:val="009F2694"/>
    <w:rsid w:val="009F3701"/>
    <w:rsid w:val="009F6626"/>
    <w:rsid w:val="00A0212B"/>
    <w:rsid w:val="00A066BB"/>
    <w:rsid w:val="00A11E6A"/>
    <w:rsid w:val="00A1477B"/>
    <w:rsid w:val="00A16DFE"/>
    <w:rsid w:val="00A20152"/>
    <w:rsid w:val="00A201E5"/>
    <w:rsid w:val="00A21101"/>
    <w:rsid w:val="00A324DB"/>
    <w:rsid w:val="00A359A2"/>
    <w:rsid w:val="00A36C94"/>
    <w:rsid w:val="00A3791C"/>
    <w:rsid w:val="00A379FE"/>
    <w:rsid w:val="00A406B4"/>
    <w:rsid w:val="00A508A7"/>
    <w:rsid w:val="00A51D56"/>
    <w:rsid w:val="00A61A51"/>
    <w:rsid w:val="00A61B7E"/>
    <w:rsid w:val="00A644AB"/>
    <w:rsid w:val="00A6534D"/>
    <w:rsid w:val="00A65C1D"/>
    <w:rsid w:val="00A6661B"/>
    <w:rsid w:val="00A81034"/>
    <w:rsid w:val="00A84B26"/>
    <w:rsid w:val="00A9219B"/>
    <w:rsid w:val="00A974D7"/>
    <w:rsid w:val="00AA1691"/>
    <w:rsid w:val="00AA6897"/>
    <w:rsid w:val="00AA6B9F"/>
    <w:rsid w:val="00AB14A2"/>
    <w:rsid w:val="00AC1E43"/>
    <w:rsid w:val="00AC261C"/>
    <w:rsid w:val="00AC3E89"/>
    <w:rsid w:val="00AC4A0A"/>
    <w:rsid w:val="00AD1CE3"/>
    <w:rsid w:val="00AE3027"/>
    <w:rsid w:val="00AF0256"/>
    <w:rsid w:val="00AF1DD2"/>
    <w:rsid w:val="00AF3524"/>
    <w:rsid w:val="00AF3A22"/>
    <w:rsid w:val="00AF3A3E"/>
    <w:rsid w:val="00B03CE8"/>
    <w:rsid w:val="00B06898"/>
    <w:rsid w:val="00B15475"/>
    <w:rsid w:val="00B159B7"/>
    <w:rsid w:val="00B16D02"/>
    <w:rsid w:val="00B20223"/>
    <w:rsid w:val="00B2287E"/>
    <w:rsid w:val="00B24579"/>
    <w:rsid w:val="00B331BB"/>
    <w:rsid w:val="00B3671E"/>
    <w:rsid w:val="00B408A1"/>
    <w:rsid w:val="00B438AF"/>
    <w:rsid w:val="00B466AF"/>
    <w:rsid w:val="00B51280"/>
    <w:rsid w:val="00B52991"/>
    <w:rsid w:val="00B52B20"/>
    <w:rsid w:val="00B53F94"/>
    <w:rsid w:val="00B56BFF"/>
    <w:rsid w:val="00B57A3A"/>
    <w:rsid w:val="00B605DD"/>
    <w:rsid w:val="00B61254"/>
    <w:rsid w:val="00B6634A"/>
    <w:rsid w:val="00B669C9"/>
    <w:rsid w:val="00B67269"/>
    <w:rsid w:val="00B674D8"/>
    <w:rsid w:val="00B81DA0"/>
    <w:rsid w:val="00B97E60"/>
    <w:rsid w:val="00BA6739"/>
    <w:rsid w:val="00BB3083"/>
    <w:rsid w:val="00BB553F"/>
    <w:rsid w:val="00BC4194"/>
    <w:rsid w:val="00BC755D"/>
    <w:rsid w:val="00BC7C27"/>
    <w:rsid w:val="00BD16B3"/>
    <w:rsid w:val="00BD1F04"/>
    <w:rsid w:val="00BD5168"/>
    <w:rsid w:val="00BD5D4A"/>
    <w:rsid w:val="00BD73D2"/>
    <w:rsid w:val="00BD74D9"/>
    <w:rsid w:val="00BE343D"/>
    <w:rsid w:val="00BE38D8"/>
    <w:rsid w:val="00BE6D23"/>
    <w:rsid w:val="00BF0B99"/>
    <w:rsid w:val="00BF6116"/>
    <w:rsid w:val="00C00616"/>
    <w:rsid w:val="00C01F2B"/>
    <w:rsid w:val="00C02444"/>
    <w:rsid w:val="00C20B50"/>
    <w:rsid w:val="00C26516"/>
    <w:rsid w:val="00C3108C"/>
    <w:rsid w:val="00C32555"/>
    <w:rsid w:val="00C33565"/>
    <w:rsid w:val="00C35D01"/>
    <w:rsid w:val="00C35FE1"/>
    <w:rsid w:val="00C360FA"/>
    <w:rsid w:val="00C3745F"/>
    <w:rsid w:val="00C4064C"/>
    <w:rsid w:val="00C41900"/>
    <w:rsid w:val="00C46AF6"/>
    <w:rsid w:val="00C47284"/>
    <w:rsid w:val="00C52A4D"/>
    <w:rsid w:val="00C613F7"/>
    <w:rsid w:val="00C647E3"/>
    <w:rsid w:val="00C65D21"/>
    <w:rsid w:val="00C67C42"/>
    <w:rsid w:val="00C706C9"/>
    <w:rsid w:val="00C764C5"/>
    <w:rsid w:val="00C813A8"/>
    <w:rsid w:val="00C82914"/>
    <w:rsid w:val="00C8603C"/>
    <w:rsid w:val="00CA46B4"/>
    <w:rsid w:val="00CB06E8"/>
    <w:rsid w:val="00CB08A4"/>
    <w:rsid w:val="00CB3313"/>
    <w:rsid w:val="00CB78D0"/>
    <w:rsid w:val="00CB7AA5"/>
    <w:rsid w:val="00CC1AFB"/>
    <w:rsid w:val="00CC45CD"/>
    <w:rsid w:val="00CC5F38"/>
    <w:rsid w:val="00CD345F"/>
    <w:rsid w:val="00CD5786"/>
    <w:rsid w:val="00CE1440"/>
    <w:rsid w:val="00CE4334"/>
    <w:rsid w:val="00CE7444"/>
    <w:rsid w:val="00CF6E55"/>
    <w:rsid w:val="00CF6FCB"/>
    <w:rsid w:val="00CF7331"/>
    <w:rsid w:val="00CF7542"/>
    <w:rsid w:val="00D022EC"/>
    <w:rsid w:val="00D0316E"/>
    <w:rsid w:val="00D13784"/>
    <w:rsid w:val="00D15C01"/>
    <w:rsid w:val="00D15F2E"/>
    <w:rsid w:val="00D17C03"/>
    <w:rsid w:val="00D229D0"/>
    <w:rsid w:val="00D23A5D"/>
    <w:rsid w:val="00D25914"/>
    <w:rsid w:val="00D27326"/>
    <w:rsid w:val="00D315E0"/>
    <w:rsid w:val="00D4363F"/>
    <w:rsid w:val="00D50C5D"/>
    <w:rsid w:val="00D516EE"/>
    <w:rsid w:val="00D5799B"/>
    <w:rsid w:val="00D6148A"/>
    <w:rsid w:val="00D646FC"/>
    <w:rsid w:val="00D70B69"/>
    <w:rsid w:val="00D710E0"/>
    <w:rsid w:val="00D77991"/>
    <w:rsid w:val="00D81929"/>
    <w:rsid w:val="00D822B9"/>
    <w:rsid w:val="00D90BCF"/>
    <w:rsid w:val="00D95A91"/>
    <w:rsid w:val="00DA49F2"/>
    <w:rsid w:val="00DA5326"/>
    <w:rsid w:val="00DB037B"/>
    <w:rsid w:val="00DB2A1C"/>
    <w:rsid w:val="00DB5992"/>
    <w:rsid w:val="00DC17AC"/>
    <w:rsid w:val="00DC223A"/>
    <w:rsid w:val="00DC501C"/>
    <w:rsid w:val="00DC52FC"/>
    <w:rsid w:val="00DC7761"/>
    <w:rsid w:val="00DD0374"/>
    <w:rsid w:val="00DD5A50"/>
    <w:rsid w:val="00DD6902"/>
    <w:rsid w:val="00DE14C1"/>
    <w:rsid w:val="00DF05A3"/>
    <w:rsid w:val="00DF2CBC"/>
    <w:rsid w:val="00DF45B6"/>
    <w:rsid w:val="00DF4DCF"/>
    <w:rsid w:val="00DF5FC1"/>
    <w:rsid w:val="00DF7A9C"/>
    <w:rsid w:val="00DF7D35"/>
    <w:rsid w:val="00E15FD4"/>
    <w:rsid w:val="00E23CA7"/>
    <w:rsid w:val="00E23DAF"/>
    <w:rsid w:val="00E27EB5"/>
    <w:rsid w:val="00E307D7"/>
    <w:rsid w:val="00E31BA9"/>
    <w:rsid w:val="00E34E0A"/>
    <w:rsid w:val="00E3697E"/>
    <w:rsid w:val="00E44269"/>
    <w:rsid w:val="00E44A86"/>
    <w:rsid w:val="00E5031E"/>
    <w:rsid w:val="00E51345"/>
    <w:rsid w:val="00E527F5"/>
    <w:rsid w:val="00E536F3"/>
    <w:rsid w:val="00E66EAB"/>
    <w:rsid w:val="00E712D1"/>
    <w:rsid w:val="00E847C5"/>
    <w:rsid w:val="00E87A40"/>
    <w:rsid w:val="00E90087"/>
    <w:rsid w:val="00E90676"/>
    <w:rsid w:val="00E92005"/>
    <w:rsid w:val="00E95DCC"/>
    <w:rsid w:val="00E96978"/>
    <w:rsid w:val="00E96D9A"/>
    <w:rsid w:val="00EA0DB1"/>
    <w:rsid w:val="00EA5E01"/>
    <w:rsid w:val="00EB04F7"/>
    <w:rsid w:val="00EB54F9"/>
    <w:rsid w:val="00EB5C91"/>
    <w:rsid w:val="00EB5FC5"/>
    <w:rsid w:val="00EC1211"/>
    <w:rsid w:val="00EC1616"/>
    <w:rsid w:val="00EC5B58"/>
    <w:rsid w:val="00EC7ABC"/>
    <w:rsid w:val="00ED1838"/>
    <w:rsid w:val="00ED33EE"/>
    <w:rsid w:val="00EF1BB7"/>
    <w:rsid w:val="00EF2A17"/>
    <w:rsid w:val="00EF4D08"/>
    <w:rsid w:val="00EF538A"/>
    <w:rsid w:val="00F017AC"/>
    <w:rsid w:val="00F05A20"/>
    <w:rsid w:val="00F07063"/>
    <w:rsid w:val="00F102A5"/>
    <w:rsid w:val="00F1100C"/>
    <w:rsid w:val="00F131B2"/>
    <w:rsid w:val="00F13F8F"/>
    <w:rsid w:val="00F15AA8"/>
    <w:rsid w:val="00F169F4"/>
    <w:rsid w:val="00F21152"/>
    <w:rsid w:val="00F276FE"/>
    <w:rsid w:val="00F30B62"/>
    <w:rsid w:val="00F34D44"/>
    <w:rsid w:val="00F43D75"/>
    <w:rsid w:val="00F4548A"/>
    <w:rsid w:val="00F469DF"/>
    <w:rsid w:val="00F53A88"/>
    <w:rsid w:val="00F56897"/>
    <w:rsid w:val="00F5744E"/>
    <w:rsid w:val="00F63E0C"/>
    <w:rsid w:val="00F63FC0"/>
    <w:rsid w:val="00F65D4B"/>
    <w:rsid w:val="00F66E4E"/>
    <w:rsid w:val="00F765CC"/>
    <w:rsid w:val="00F76C18"/>
    <w:rsid w:val="00F84D7D"/>
    <w:rsid w:val="00F93305"/>
    <w:rsid w:val="00FA0426"/>
    <w:rsid w:val="00FA210D"/>
    <w:rsid w:val="00FA4D50"/>
    <w:rsid w:val="00FC3362"/>
    <w:rsid w:val="00FC62A3"/>
    <w:rsid w:val="00FD24F4"/>
    <w:rsid w:val="00FD2B74"/>
    <w:rsid w:val="00FD5229"/>
    <w:rsid w:val="00FD5E5E"/>
    <w:rsid w:val="00FD6F8C"/>
    <w:rsid w:val="00FD729C"/>
    <w:rsid w:val="00FE03CA"/>
    <w:rsid w:val="00FE090C"/>
    <w:rsid w:val="00FE1F35"/>
    <w:rsid w:val="00FE411A"/>
    <w:rsid w:val="00FE595E"/>
    <w:rsid w:val="00FF0247"/>
    <w:rsid w:val="00FF45F4"/>
    <w:rsid w:val="00FF56D1"/>
    <w:rsid w:val="00FF75FF"/>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9A30FA"/>
  <w15:docId w15:val="{3DE4E975-EBF4-994B-A42D-6BCF502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 w:type="character" w:styleId="FollowedHyperlink">
    <w:name w:val="FollowedHyperlink"/>
    <w:basedOn w:val="DefaultParagraphFont"/>
    <w:rsid w:val="001E26D1"/>
    <w:rPr>
      <w:color w:val="800080" w:themeColor="followedHyperlink"/>
      <w:u w:val="single"/>
    </w:rPr>
  </w:style>
  <w:style w:type="character" w:styleId="Emphasis">
    <w:name w:val="Emphasis"/>
    <w:basedOn w:val="DefaultParagraphFont"/>
    <w:uiPriority w:val="20"/>
    <w:qFormat/>
    <w:rsid w:val="00CB08A4"/>
    <w:rPr>
      <w:i/>
      <w:iCs/>
    </w:rPr>
  </w:style>
  <w:style w:type="character" w:styleId="Strong">
    <w:name w:val="Strong"/>
    <w:basedOn w:val="DefaultParagraphFont"/>
    <w:uiPriority w:val="22"/>
    <w:qFormat/>
    <w:rsid w:val="00CB08A4"/>
    <w:rPr>
      <w:b/>
      <w:bCs/>
    </w:rPr>
  </w:style>
  <w:style w:type="character" w:styleId="CommentReference">
    <w:name w:val="annotation reference"/>
    <w:basedOn w:val="DefaultParagraphFont"/>
    <w:rsid w:val="008C4014"/>
    <w:rPr>
      <w:sz w:val="16"/>
      <w:szCs w:val="16"/>
    </w:rPr>
  </w:style>
  <w:style w:type="paragraph" w:styleId="CommentText">
    <w:name w:val="annotation text"/>
    <w:basedOn w:val="Normal"/>
    <w:link w:val="CommentTextChar"/>
    <w:rsid w:val="008C4014"/>
    <w:pPr>
      <w:spacing w:line="240" w:lineRule="auto"/>
    </w:pPr>
  </w:style>
  <w:style w:type="character" w:customStyle="1" w:styleId="CommentTextChar">
    <w:name w:val="Comment Text Char"/>
    <w:basedOn w:val="DefaultParagraphFont"/>
    <w:link w:val="CommentText"/>
    <w:rsid w:val="008C4014"/>
    <w:rPr>
      <w:color w:val="000000"/>
      <w:kern w:val="28"/>
    </w:rPr>
  </w:style>
  <w:style w:type="paragraph" w:styleId="CommentSubject">
    <w:name w:val="annotation subject"/>
    <w:basedOn w:val="CommentText"/>
    <w:next w:val="CommentText"/>
    <w:link w:val="CommentSubjectChar"/>
    <w:rsid w:val="008C4014"/>
    <w:rPr>
      <w:b/>
      <w:bCs/>
    </w:rPr>
  </w:style>
  <w:style w:type="character" w:customStyle="1" w:styleId="CommentSubjectChar">
    <w:name w:val="Comment Subject Char"/>
    <w:basedOn w:val="CommentTextChar"/>
    <w:link w:val="CommentSubject"/>
    <w:rsid w:val="008C4014"/>
    <w:rPr>
      <w:b/>
      <w:bCs/>
      <w:color w:val="000000"/>
      <w:kern w:val="28"/>
    </w:rPr>
  </w:style>
  <w:style w:type="paragraph" w:styleId="Revision">
    <w:name w:val="Revision"/>
    <w:hidden/>
    <w:uiPriority w:val="71"/>
    <w:rsid w:val="002D710F"/>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569107">
      <w:bodyDiv w:val="1"/>
      <w:marLeft w:val="0"/>
      <w:marRight w:val="0"/>
      <w:marTop w:val="0"/>
      <w:marBottom w:val="0"/>
      <w:divBdr>
        <w:top w:val="none" w:sz="0" w:space="0" w:color="auto"/>
        <w:left w:val="none" w:sz="0" w:space="0" w:color="auto"/>
        <w:bottom w:val="none" w:sz="0" w:space="0" w:color="auto"/>
        <w:right w:val="none" w:sz="0" w:space="0" w:color="auto"/>
      </w:divBdr>
    </w:div>
    <w:div w:id="214519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og.com/renov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rederick\Local%20Settings\Temporary%20Internet%20Files\OLK5C\Apogee%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Settings\vfrederick\Local Settings\Temporary Internet Files\OLK5C\Apogee Electronic Letterhead.dot</Template>
  <TotalTime>8</TotalTime>
  <Pages>4</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[Date]:</vt:lpstr>
    </vt:vector>
  </TitlesOfParts>
  <Company>Apogee Services, Inc</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Apogee Services, Inc</dc:creator>
  <cp:lastModifiedBy>Heather West</cp:lastModifiedBy>
  <cp:revision>7</cp:revision>
  <cp:lastPrinted>2015-09-25T18:50:00Z</cp:lastPrinted>
  <dcterms:created xsi:type="dcterms:W3CDTF">2019-01-28T19:51:00Z</dcterms:created>
  <dcterms:modified xsi:type="dcterms:W3CDTF">2019-01-31T15:47:00Z</dcterms:modified>
</cp:coreProperties>
</file>